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1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107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Bancroft Charles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 PAGE MILL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Kodiak 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94304</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38.96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17,731</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17,731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17,731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hundred percent (100%) of the shares subject to the option shall vest upon the earlier of June 30, 2027 or one (1) day prior to the Issuer's next annual meeting occurring after the grant date, in each case, provided the Reporting Person continues to serve as a member of the Issuer's board of directors through the applicable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David Peinsipp, Attorney-in- </w:t>
      </w:r>
      <w:r>
        <w:rPr>
          <w:rFonts w:ascii="Times New Roman" w:cs="Times New Roman" w:eastAsia="Times New Roman" w:hAnsi="Times New Roman"/>
          <w:sz w:val="32"/>
          <w:szCs w:val="32"/>
          <w:color w:val="0000FF"/>
          <w:vertAlign w:val="subscript"/>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658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Charles Bancroft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84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45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80250" TargetMode="External"/><Relationship Id="rId14" Type="http://schemas.openxmlformats.org/officeDocument/2006/relationships/hyperlink" Target="http://www.sec.gov/cgi-bin/browse-edgar?action=getcompany&amp;CIK=00014687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2026-07-02T16:58:42Z</dcterms:created>
  <dcterms:modified xsi:type="dcterms:W3CDTF">2026-07-02T16:58:42Z</dcterms:modified>
</cp:coreProperties>
</file>