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F1F8F8"/>
        </w:rPr>
        <w:t>TO OUR KODIAK</w:t>
      </w:r>
    </w:p>
    <w:p>
      <w:pPr>
        <w:spacing w:after="0" w:line="84"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F1F8F8"/>
        </w:rPr>
        <w:t>STOCKHOLDERS, EMPLOYEES AND PARTNERS</w:t>
      </w:r>
    </w:p>
    <w:p>
      <w:pPr>
        <w:spacing w:after="0" w:line="200" w:lineRule="exact"/>
        <w:rPr>
          <w:sz w:val="20"/>
          <w:szCs w:val="20"/>
          <w:color w:val="auto"/>
        </w:rPr>
      </w:pPr>
    </w:p>
    <w:p>
      <w:pPr>
        <w:spacing w:after="0" w:line="319" w:lineRule="exact"/>
        <w:rPr>
          <w:sz w:val="20"/>
          <w:szCs w:val="20"/>
          <w:color w:val="auto"/>
        </w:rPr>
      </w:pPr>
    </w:p>
    <w:p>
      <w:pPr>
        <w:jc w:val="both"/>
        <w:ind w:right="60"/>
        <w:spacing w:after="0" w:line="255" w:lineRule="exact"/>
        <w:rPr>
          <w:sz w:val="20"/>
          <w:szCs w:val="20"/>
          <w:color w:val="auto"/>
        </w:rPr>
      </w:pPr>
      <w:r>
        <w:rPr>
          <w:rFonts w:ascii="Arial" w:cs="Arial" w:eastAsia="Arial" w:hAnsi="Arial"/>
          <w:sz w:val="19"/>
          <w:szCs w:val="19"/>
          <w:color w:val="FFFFFF"/>
        </w:rPr>
        <w:t xml:space="preserve">When I wrote to you last year, I asked you to look at Kodiak with fresh eyes— to see, beneath the market turbulence, a company grounded in science with the potential to build something enduring. I shared </w:t>
      </w:r>
      <w:r>
        <w:rPr>
          <w:rFonts w:ascii="Arial" w:cs="Arial" w:eastAsia="Arial" w:hAnsi="Arial"/>
          <w:sz w:val="19"/>
          <w:szCs w:val="19"/>
          <w:color w:val="FFFFFF"/>
        </w:rPr>
        <w:t>ɎǝƏɎ</w:t>
      </w:r>
      <w:r>
        <w:rPr>
          <w:rFonts w:ascii="PMingLiU" w:cs="PMingLiU" w:eastAsia="PMingLiU" w:hAnsi="PMingLiU"/>
          <w:sz w:val="19"/>
          <w:szCs w:val="19"/>
          <w:color w:val="FFFFFF"/>
        </w:rPr>
        <w:t/>
      </w:r>
      <w:r>
        <w:rPr>
          <w:rFonts w:ascii="Arial" w:cs="Arial" w:eastAsia="Arial" w:hAnsi="Arial"/>
          <w:sz w:val="19"/>
          <w:szCs w:val="19"/>
          <w:color w:val="FFFFFF"/>
        </w:rPr>
        <w:t>Ɏǝƺ</w:t>
      </w:r>
      <w:r>
        <w:rPr>
          <w:rFonts w:ascii="PMingLiU" w:cs="PMingLiU" w:eastAsia="PMingLiU" w:hAnsi="PMingLiU"/>
          <w:sz w:val="19"/>
          <w:szCs w:val="19"/>
          <w:color w:val="FFFFFF"/>
        </w:rPr>
        <w:t/>
      </w:r>
      <w:r>
        <w:rPr>
          <w:rFonts w:ascii="Arial" w:cs="Arial" w:eastAsia="Arial" w:hAnsi="Arial"/>
          <w:sz w:val="19"/>
          <w:szCs w:val="19"/>
          <w:color w:val="FFFFFF"/>
        </w:rPr>
        <w:t>ƬȒȅǣȇǕ</w:t>
      </w:r>
      <w:r>
        <w:rPr>
          <w:rFonts w:ascii="PMingLiU" w:cs="PMingLiU" w:eastAsia="PMingLiU" w:hAnsi="PMingLiU"/>
          <w:sz w:val="19"/>
          <w:szCs w:val="19"/>
          <w:color w:val="FFFFFF"/>
        </w:rPr>
        <w:t/>
      </w:r>
      <w:r>
        <w:rPr>
          <w:rFonts w:ascii="Arial" w:cs="Arial" w:eastAsia="Arial" w:hAnsi="Arial"/>
          <w:sz w:val="19"/>
          <w:szCs w:val="19"/>
          <w:color w:val="FFFFFF"/>
        </w:rPr>
        <w:t>ȅȒȇɎǝɀ</w:t>
      </w:r>
      <w:r>
        <w:rPr>
          <w:rFonts w:ascii="PMingLiU" w:cs="PMingLiU" w:eastAsia="PMingLiU" w:hAnsi="PMingLiU"/>
          <w:sz w:val="19"/>
          <w:szCs w:val="19"/>
          <w:color w:val="FFFFFF"/>
        </w:rPr>
        <w:t/>
      </w:r>
      <w:r>
        <w:rPr>
          <w:rFonts w:ascii="Arial" w:cs="Arial" w:eastAsia="Arial" w:hAnsi="Arial"/>
          <w:sz w:val="19"/>
          <w:szCs w:val="19"/>
          <w:color w:val="FFFFFF"/>
        </w:rPr>
        <w:t>ɯȒɖǼƳ</w:t>
      </w:r>
      <w:r>
        <w:rPr>
          <w:rFonts w:ascii="PMingLiU" w:cs="PMingLiU" w:eastAsia="PMingLiU" w:hAnsi="PMingLiU"/>
          <w:sz w:val="19"/>
          <w:szCs w:val="19"/>
          <w:color w:val="FFFFFF"/>
        </w:rPr>
        <w:t/>
      </w:r>
      <w:r>
        <w:rPr>
          <w:rFonts w:ascii="Arial" w:cs="Arial" w:eastAsia="Arial" w:hAnsi="Arial"/>
          <w:sz w:val="19"/>
          <w:szCs w:val="19"/>
          <w:color w:val="FFFFFF"/>
        </w:rPr>
        <w:t>ƫƺ</w:t>
      </w:r>
      <w:r>
        <w:rPr>
          <w:rFonts w:ascii="PMingLiU" w:cs="PMingLiU" w:eastAsia="PMingLiU" w:hAnsi="PMingLiU"/>
          <w:sz w:val="19"/>
          <w:szCs w:val="19"/>
          <w:color w:val="FFFFFF"/>
        </w:rPr>
        <w:t/>
      </w:r>
      <w:r>
        <w:rPr>
          <w:rFonts w:ascii="Arial" w:cs="Arial" w:eastAsia="Arial" w:hAnsi="Arial"/>
          <w:sz w:val="19"/>
          <w:szCs w:val="19"/>
          <w:color w:val="FFFFFF"/>
        </w:rPr>
        <w:t>ƳƺˡȇǣȇǕِ</w:t>
      </w:r>
      <w:r>
        <w:rPr>
          <w:rFonts w:ascii="PMingLiU" w:cs="PMingLiU" w:eastAsia="PMingLiU" w:hAnsi="PMingLiU"/>
          <w:sz w:val="19"/>
          <w:szCs w:val="19"/>
          <w:color w:val="FFFFFF"/>
        </w:rPr>
        <w:t/>
      </w:r>
      <w:r>
        <w:rPr>
          <w:rFonts w:ascii="Arial" w:cs="Arial" w:eastAsia="Arial" w:hAnsi="Arial"/>
          <w:sz w:val="19"/>
          <w:szCs w:val="19"/>
          <w:color w:val="FFFFFF"/>
        </w:rPr>
        <w:t>Áǝƺɵ</w:t>
      </w:r>
      <w:r>
        <w:rPr>
          <w:rFonts w:ascii="PMingLiU" w:cs="PMingLiU" w:eastAsia="PMingLiU" w:hAnsi="PMingLiU"/>
          <w:sz w:val="19"/>
          <w:szCs w:val="19"/>
          <w:color w:val="FFFFFF"/>
        </w:rPr>
        <w:t/>
      </w:r>
      <w:r>
        <w:rPr>
          <w:rFonts w:ascii="Arial" w:cs="Arial" w:eastAsia="Arial" w:hAnsi="Arial"/>
          <w:sz w:val="19"/>
          <w:szCs w:val="19"/>
          <w:color w:val="FFFFFF"/>
        </w:rPr>
        <w:t>ɯƺȸƺِ</w:t>
      </w:r>
    </w:p>
    <w:p>
      <w:pPr>
        <w:spacing w:after="0" w:line="275" w:lineRule="exact"/>
        <w:rPr>
          <w:sz w:val="20"/>
          <w:szCs w:val="20"/>
          <w:color w:val="auto"/>
        </w:rPr>
      </w:pPr>
    </w:p>
    <w:p>
      <w:pPr>
        <w:jc w:val="both"/>
        <w:ind w:right="60"/>
        <w:spacing w:after="0" w:line="300" w:lineRule="auto"/>
        <w:rPr>
          <w:sz w:val="20"/>
          <w:szCs w:val="20"/>
          <w:color w:val="auto"/>
        </w:rPr>
      </w:pPr>
      <w:r>
        <w:rPr>
          <w:rFonts w:ascii="Arial" w:cs="Arial" w:eastAsia="Arial" w:hAnsi="Arial"/>
          <w:sz w:val="19"/>
          <w:szCs w:val="19"/>
          <w:color w:val="FFFFFF"/>
        </w:rPr>
        <w:t>In 2025, we continued to execute across our portfolio, advancing three late-stage clinical programs across major causes of vision loss. We gained greater clarity on our path forward and, in important ways, exceeded our expectations.</w:t>
      </w:r>
    </w:p>
    <w:p>
      <w:pPr>
        <w:spacing w:after="0" w:line="221" w:lineRule="exact"/>
        <w:rPr>
          <w:sz w:val="20"/>
          <w:szCs w:val="20"/>
          <w:color w:val="auto"/>
        </w:rPr>
      </w:pPr>
    </w:p>
    <w:p>
      <w:pPr>
        <w:jc w:val="both"/>
        <w:spacing w:after="0" w:line="258" w:lineRule="exact"/>
        <w:rPr>
          <w:sz w:val="20"/>
          <w:szCs w:val="20"/>
          <w:color w:val="auto"/>
        </w:rPr>
      </w:pPr>
      <w:r>
        <w:rPr>
          <w:rFonts w:ascii="Arial" w:cs="Arial" w:eastAsia="Arial" w:hAnsi="Arial"/>
          <w:sz w:val="17"/>
          <w:szCs w:val="17"/>
          <w:color w:val="FFFFFF"/>
        </w:rPr>
        <w:t xml:space="preserve">Most notably, in the Phase 1b APEX study, KSI-101 demonstrated rapid retinal drying and meaningful </w:t>
      </w:r>
      <w:r>
        <w:rPr>
          <w:rFonts w:ascii="Arial" w:cs="Arial" w:eastAsia="Arial" w:hAnsi="Arial"/>
          <w:sz w:val="17"/>
          <w:szCs w:val="17"/>
          <w:color w:val="FFFFFF"/>
        </w:rPr>
        <w:t>ǣȅȵȸȒɮƺȅƺȇɎɀ</w:t>
      </w:r>
      <w:r>
        <w:rPr>
          <w:rFonts w:ascii="PMingLiU" w:cs="PMingLiU" w:eastAsia="PMingLiU" w:hAnsi="PMingLiU"/>
          <w:sz w:val="17"/>
          <w:szCs w:val="17"/>
          <w:color w:val="FFFFFF"/>
        </w:rPr>
        <w:t/>
      </w:r>
      <w:r>
        <w:rPr>
          <w:rFonts w:ascii="Arial" w:cs="Arial" w:eastAsia="Arial" w:hAnsi="Arial"/>
          <w:sz w:val="17"/>
          <w:szCs w:val="17"/>
          <w:color w:val="FFFFFF"/>
        </w:rPr>
        <w:t xml:space="preserve"> ǣȇ</w:t>
      </w:r>
      <w:r>
        <w:rPr>
          <w:rFonts w:ascii="PMingLiU" w:cs="PMingLiU" w:eastAsia="PMingLiU" w:hAnsi="PMingLiU"/>
          <w:sz w:val="17"/>
          <w:szCs w:val="17"/>
          <w:color w:val="FFFFFF"/>
        </w:rPr>
        <w:t/>
      </w:r>
      <w:r>
        <w:rPr>
          <w:rFonts w:ascii="Arial" w:cs="Arial" w:eastAsia="Arial" w:hAnsi="Arial"/>
          <w:sz w:val="17"/>
          <w:szCs w:val="17"/>
          <w:color w:val="FFFFFF"/>
        </w:rPr>
        <w:t xml:space="preserve"> ɮǣɀǣȒȇً</w:t>
      </w:r>
      <w:r>
        <w:rPr>
          <w:rFonts w:ascii="PMingLiU" w:cs="PMingLiU" w:eastAsia="PMingLiU" w:hAnsi="PMingLiU"/>
          <w:sz w:val="17"/>
          <w:szCs w:val="17"/>
          <w:color w:val="FFFFFF"/>
        </w:rPr>
        <w:t/>
      </w:r>
      <w:r>
        <w:rPr>
          <w:rFonts w:ascii="Arial" w:cs="Arial" w:eastAsia="Arial" w:hAnsi="Arial"/>
          <w:sz w:val="17"/>
          <w:szCs w:val="17"/>
          <w:color w:val="FFFFFF"/>
        </w:rPr>
        <w:t xml:space="preserve"> ɯǣɎǝ</w:t>
      </w:r>
      <w:r>
        <w:rPr>
          <w:rFonts w:ascii="PMingLiU" w:cs="PMingLiU" w:eastAsia="PMingLiU" w:hAnsi="PMingLiU"/>
          <w:sz w:val="17"/>
          <w:szCs w:val="17"/>
          <w:color w:val="FFFFFF"/>
        </w:rPr>
        <w:t/>
      </w:r>
      <w:r>
        <w:rPr>
          <w:rFonts w:ascii="Arial" w:cs="Arial" w:eastAsia="Arial" w:hAnsi="Arial"/>
          <w:sz w:val="17"/>
          <w:szCs w:val="17"/>
          <w:color w:val="FFFFFF"/>
        </w:rPr>
        <w:t xml:space="preserve"> ȅȒȸƺ</w:t>
      </w:r>
      <w:r>
        <w:rPr>
          <w:rFonts w:ascii="PMingLiU" w:cs="PMingLiU" w:eastAsia="PMingLiU" w:hAnsi="PMingLiU"/>
          <w:sz w:val="17"/>
          <w:szCs w:val="17"/>
          <w:color w:val="FFFFFF"/>
        </w:rPr>
        <w:t/>
      </w:r>
      <w:r>
        <w:rPr>
          <w:rFonts w:ascii="Arial" w:cs="Arial" w:eastAsia="Arial" w:hAnsi="Arial"/>
          <w:sz w:val="17"/>
          <w:szCs w:val="17"/>
          <w:color w:val="FFFFFF"/>
        </w:rPr>
        <w:t xml:space="preserve"> ɎǝƏȇ</w:t>
      </w:r>
      <w:r>
        <w:rPr>
          <w:rFonts w:ascii="PMingLiU" w:cs="PMingLiU" w:eastAsia="PMingLiU" w:hAnsi="PMingLiU"/>
          <w:sz w:val="17"/>
          <w:szCs w:val="17"/>
          <w:color w:val="FFFFFF"/>
        </w:rPr>
        <w:t/>
      </w:r>
      <w:r>
        <w:rPr>
          <w:rFonts w:ascii="Arial" w:cs="Arial" w:eastAsia="Arial" w:hAnsi="Arial"/>
          <w:sz w:val="17"/>
          <w:szCs w:val="17"/>
          <w:color w:val="FFFFFF"/>
        </w:rPr>
        <w:t xml:space="preserve"> ǝƏǼǔ</w:t>
      </w:r>
      <w:r>
        <w:rPr>
          <w:rFonts w:ascii="PMingLiU" w:cs="PMingLiU" w:eastAsia="PMingLiU" w:hAnsi="PMingLiU"/>
          <w:sz w:val="17"/>
          <w:szCs w:val="17"/>
          <w:color w:val="FFFFFF"/>
        </w:rPr>
        <w:t/>
      </w:r>
      <w:r>
        <w:rPr>
          <w:rFonts w:ascii="Arial" w:cs="Arial" w:eastAsia="Arial" w:hAnsi="Arial"/>
          <w:sz w:val="17"/>
          <w:szCs w:val="17"/>
          <w:color w:val="FFFFFF"/>
        </w:rPr>
        <w:t xml:space="preserve"> Ȓǔ</w:t>
      </w:r>
      <w:r>
        <w:rPr>
          <w:rFonts w:ascii="PMingLiU" w:cs="PMingLiU" w:eastAsia="PMingLiU" w:hAnsi="PMingLiU"/>
          <w:sz w:val="17"/>
          <w:szCs w:val="17"/>
          <w:color w:val="FFFFFF"/>
        </w:rPr>
        <w:t/>
      </w:r>
      <w:r>
        <w:rPr>
          <w:rFonts w:ascii="Arial" w:cs="Arial" w:eastAsia="Arial" w:hAnsi="Arial"/>
          <w:sz w:val="17"/>
          <w:szCs w:val="17"/>
          <w:color w:val="FFFFFF"/>
        </w:rPr>
        <w:t xml:space="preserve"> ȵƏɎǣƺȇɎɀ</w:t>
      </w:r>
      <w:r>
        <w:rPr>
          <w:rFonts w:ascii="PMingLiU" w:cs="PMingLiU" w:eastAsia="PMingLiU" w:hAnsi="PMingLiU"/>
          <w:sz w:val="17"/>
          <w:szCs w:val="17"/>
          <w:color w:val="FFFFFF"/>
        </w:rPr>
        <w:t/>
      </w:r>
      <w:r>
        <w:rPr>
          <w:rFonts w:ascii="Arial" w:cs="Arial" w:eastAsia="Arial" w:hAnsi="Arial"/>
          <w:sz w:val="17"/>
          <w:szCs w:val="17"/>
          <w:color w:val="FFFFFF"/>
        </w:rPr>
        <w:t xml:space="preserve"> ǣȇ</w:t>
      </w:r>
      <w:r>
        <w:rPr>
          <w:rFonts w:ascii="PMingLiU" w:cs="PMingLiU" w:eastAsia="PMingLiU" w:hAnsi="PMingLiU"/>
          <w:sz w:val="17"/>
          <w:szCs w:val="17"/>
          <w:color w:val="FFFFFF"/>
        </w:rPr>
        <w:t/>
      </w:r>
      <w:r>
        <w:rPr>
          <w:rFonts w:ascii="Arial" w:cs="Arial" w:eastAsia="Arial" w:hAnsi="Arial"/>
          <w:sz w:val="17"/>
          <w:szCs w:val="17"/>
          <w:color w:val="FFFFFF"/>
        </w:rPr>
        <w:t xml:space="preserve"> ǝǣǕǝƺȸ</w:t>
      </w:r>
      <w:r>
        <w:rPr>
          <w:rFonts w:ascii="PMingLiU" w:cs="PMingLiU" w:eastAsia="PMingLiU" w:hAnsi="PMingLiU"/>
          <w:sz w:val="17"/>
          <w:szCs w:val="17"/>
          <w:color w:val="FFFFFF"/>
        </w:rPr>
        <w:t/>
      </w:r>
      <w:r>
        <w:rPr>
          <w:rFonts w:ascii="Arial" w:cs="Arial" w:eastAsia="Arial" w:hAnsi="Arial"/>
          <w:sz w:val="17"/>
          <w:szCs w:val="17"/>
          <w:color w:val="FFFFFF"/>
        </w:rPr>
        <w:t xml:space="preserve"> ƳȒɀƺ</w:t>
      </w:r>
      <w:r>
        <w:rPr>
          <w:rFonts w:ascii="PMingLiU" w:cs="PMingLiU" w:eastAsia="PMingLiU" w:hAnsi="PMingLiU"/>
          <w:sz w:val="17"/>
          <w:szCs w:val="17"/>
          <w:color w:val="FFFFFF"/>
        </w:rPr>
        <w:t/>
      </w:r>
      <w:r>
        <w:rPr>
          <w:rFonts w:ascii="Arial" w:cs="Arial" w:eastAsia="Arial" w:hAnsi="Arial"/>
          <w:sz w:val="17"/>
          <w:szCs w:val="17"/>
          <w:color w:val="FFFFFF"/>
        </w:rPr>
        <w:t xml:space="preserve"> ǕȸȒɖȵɀ</w:t>
      </w:r>
      <w:r>
        <w:rPr>
          <w:rFonts w:ascii="PMingLiU" w:cs="PMingLiU" w:eastAsia="PMingLiU" w:hAnsi="PMingLiU"/>
          <w:sz w:val="17"/>
          <w:szCs w:val="17"/>
          <w:color w:val="FFFFFF"/>
        </w:rPr>
        <w:t/>
      </w:r>
      <w:r>
        <w:rPr>
          <w:rFonts w:ascii="Arial" w:cs="Arial" w:eastAsia="Arial" w:hAnsi="Arial"/>
          <w:sz w:val="17"/>
          <w:szCs w:val="17"/>
          <w:color w:val="FFFFFF"/>
        </w:rPr>
        <w:t xml:space="preserve"> ƏƬǝǣƺɮǣȇǕ</w:t>
      </w:r>
      <w:r>
        <w:rPr>
          <w:rFonts w:ascii="PMingLiU" w:cs="PMingLiU" w:eastAsia="PMingLiU" w:hAnsi="PMingLiU"/>
          <w:sz w:val="17"/>
          <w:szCs w:val="17"/>
          <w:color w:val="FFFFFF"/>
        </w:rPr>
        <w:t/>
      </w:r>
      <w:r>
        <w:rPr>
          <w:rFonts w:ascii="Arial" w:cs="Arial" w:eastAsia="Arial" w:hAnsi="Arial"/>
          <w:sz w:val="17"/>
          <w:szCs w:val="17"/>
          <w:color w:val="FFFFFF"/>
        </w:rPr>
        <w:t xml:space="preserve"> ڿ דٮǼƺɎɎƺȸ</w:t>
      </w:r>
      <w:r>
        <w:rPr>
          <w:rFonts w:ascii="PMingLiU" w:cs="PMingLiU" w:eastAsia="PMingLiU" w:hAnsi="PMingLiU"/>
          <w:sz w:val="17"/>
          <w:szCs w:val="17"/>
          <w:color w:val="FFFFFF"/>
        </w:rPr>
        <w:t/>
      </w:r>
      <w:r>
        <w:rPr>
          <w:rFonts w:ascii="Arial" w:cs="Arial" w:eastAsia="Arial" w:hAnsi="Arial"/>
          <w:sz w:val="17"/>
          <w:szCs w:val="17"/>
          <w:color w:val="FFFFFF"/>
        </w:rPr>
        <w:t xml:space="preserve"> ǕƏǣȇɀ</w:t>
      </w:r>
      <w:r>
        <w:rPr>
          <w:rFonts w:ascii="PMingLiU" w:cs="PMingLiU" w:eastAsia="PMingLiU" w:hAnsi="PMingLiU"/>
          <w:sz w:val="17"/>
          <w:szCs w:val="17"/>
          <w:color w:val="FFFFFF"/>
        </w:rPr>
        <w:t/>
      </w:r>
      <w:r>
        <w:rPr>
          <w:rFonts w:ascii="Arial" w:cs="Arial" w:eastAsia="Arial" w:hAnsi="Arial"/>
          <w:sz w:val="17"/>
          <w:szCs w:val="17"/>
          <w:color w:val="FFFFFF"/>
        </w:rPr>
        <w:t>ƏȇƳ</w:t>
      </w:r>
      <w:r>
        <w:rPr>
          <w:rFonts w:ascii="PMingLiU" w:cs="PMingLiU" w:eastAsia="PMingLiU" w:hAnsi="PMingLiU"/>
          <w:sz w:val="17"/>
          <w:szCs w:val="17"/>
          <w:color w:val="FFFFFF"/>
        </w:rPr>
        <w:t/>
      </w:r>
      <w:r>
        <w:rPr>
          <w:rFonts w:ascii="Arial" w:cs="Arial" w:eastAsia="Arial" w:hAnsi="Arial"/>
          <w:sz w:val="17"/>
          <w:szCs w:val="17"/>
          <w:color w:val="FFFFFF"/>
        </w:rPr>
        <w:t>Ȓɮƺȸ</w:t>
      </w:r>
      <w:r>
        <w:rPr>
          <w:rFonts w:ascii="PMingLiU" w:cs="PMingLiU" w:eastAsia="PMingLiU" w:hAnsi="PMingLiU"/>
          <w:sz w:val="17"/>
          <w:szCs w:val="17"/>
          <w:color w:val="FFFFFF"/>
        </w:rPr>
        <w:t/>
      </w:r>
      <w:r>
        <w:rPr>
          <w:rFonts w:ascii="Arial" w:cs="Arial" w:eastAsia="Arial" w:hAnsi="Arial"/>
          <w:sz w:val="17"/>
          <w:szCs w:val="17"/>
          <w:color w:val="FFFFFF"/>
        </w:rPr>
        <w:t>ח ۏ</w:t>
      </w:r>
      <w:r>
        <w:rPr>
          <w:rFonts w:ascii="PMingLiU" w:cs="PMingLiU" w:eastAsia="PMingLiU" w:hAnsi="PMingLiU"/>
          <w:sz w:val="17"/>
          <w:szCs w:val="17"/>
          <w:color w:val="FFFFFF"/>
        </w:rPr>
        <w:t/>
      </w:r>
      <w:r>
        <w:rPr>
          <w:rFonts w:ascii="Arial" w:cs="Arial" w:eastAsia="Arial" w:hAnsi="Arial"/>
          <w:sz w:val="17"/>
          <w:szCs w:val="17"/>
          <w:color w:val="FFFFFF"/>
        </w:rPr>
        <w:t>ƏƬǝǣƺɮǣȇǕ</w:t>
      </w:r>
      <w:r>
        <w:rPr>
          <w:rFonts w:ascii="PMingLiU" w:cs="PMingLiU" w:eastAsia="PMingLiU" w:hAnsi="PMingLiU"/>
          <w:sz w:val="17"/>
          <w:szCs w:val="17"/>
          <w:color w:val="FFFFFF"/>
        </w:rPr>
        <w:t/>
      </w:r>
      <w:r>
        <w:rPr>
          <w:rFonts w:ascii="Arial" w:cs="Arial" w:eastAsia="Arial" w:hAnsi="Arial"/>
          <w:sz w:val="17"/>
          <w:szCs w:val="17"/>
          <w:color w:val="FFFFFF"/>
        </w:rPr>
        <w:t>ɀɖɀɎƏǣȇƺƳ</w:t>
      </w:r>
      <w:r>
        <w:rPr>
          <w:rFonts w:ascii="PMingLiU" w:cs="PMingLiU" w:eastAsia="PMingLiU" w:hAnsi="PMingLiU"/>
          <w:sz w:val="17"/>
          <w:szCs w:val="17"/>
          <w:color w:val="FFFFFF"/>
        </w:rPr>
        <w:t/>
      </w:r>
      <w:r>
        <w:rPr>
          <w:rFonts w:ascii="Arial" w:cs="Arial" w:eastAsia="Arial" w:hAnsi="Arial"/>
          <w:sz w:val="17"/>
          <w:szCs w:val="17"/>
          <w:color w:val="FFFFFF"/>
        </w:rPr>
        <w:t>ȸƺɎǣȇƏǼ</w:t>
      </w:r>
      <w:r>
        <w:rPr>
          <w:rFonts w:ascii="PMingLiU" w:cs="PMingLiU" w:eastAsia="PMingLiU" w:hAnsi="PMingLiU"/>
          <w:sz w:val="17"/>
          <w:szCs w:val="17"/>
          <w:color w:val="FFFFFF"/>
        </w:rPr>
        <w:t/>
      </w:r>
      <w:r>
        <w:rPr>
          <w:rFonts w:ascii="Arial" w:cs="Arial" w:eastAsia="Arial" w:hAnsi="Arial"/>
          <w:sz w:val="17"/>
          <w:szCs w:val="17"/>
          <w:color w:val="FFFFFF"/>
        </w:rPr>
        <w:t>Ƴȸɵȇƺɀɀِ</w:t>
      </w:r>
      <w:r>
        <w:rPr>
          <w:rFonts w:ascii="PMingLiU" w:cs="PMingLiU" w:eastAsia="PMingLiU" w:hAnsi="PMingLiU"/>
          <w:sz w:val="17"/>
          <w:szCs w:val="17"/>
          <w:color w:val="FFFFFF"/>
        </w:rPr>
        <w:t/>
      </w:r>
      <w:r>
        <w:rPr>
          <w:rFonts w:ascii="Arial" w:cs="Arial" w:eastAsia="Arial" w:hAnsi="Arial"/>
          <w:sz w:val="17"/>
          <w:szCs w:val="17"/>
          <w:color w:val="FFFFFF"/>
        </w:rPr>
        <w:t>áǝǣǼƺ</w:t>
      </w:r>
      <w:r>
        <w:rPr>
          <w:rFonts w:ascii="PMingLiU" w:cs="PMingLiU" w:eastAsia="PMingLiU" w:hAnsi="PMingLiU"/>
          <w:sz w:val="17"/>
          <w:szCs w:val="17"/>
          <w:color w:val="FFFFFF"/>
        </w:rPr>
        <w:t/>
      </w:r>
      <w:r>
        <w:rPr>
          <w:rFonts w:ascii="Arial" w:cs="Arial" w:eastAsia="Arial" w:hAnsi="Arial"/>
          <w:sz w:val="17"/>
          <w:szCs w:val="17"/>
          <w:color w:val="FFFFFF"/>
        </w:rPr>
        <w:t>ƺƏȸǼɵً</w:t>
      </w:r>
      <w:r>
        <w:rPr>
          <w:rFonts w:ascii="PMingLiU" w:cs="PMingLiU" w:eastAsia="PMingLiU" w:hAnsi="PMingLiU"/>
          <w:sz w:val="17"/>
          <w:szCs w:val="17"/>
          <w:color w:val="FFFFFF"/>
        </w:rPr>
        <w:t/>
      </w:r>
      <w:r>
        <w:rPr>
          <w:rFonts w:ascii="Arial" w:cs="Arial" w:eastAsia="Arial" w:hAnsi="Arial"/>
          <w:sz w:val="17"/>
          <w:szCs w:val="17"/>
          <w:color w:val="FFFFFF"/>
        </w:rPr>
        <w:t>Ɏǝƺɀƺ</w:t>
      </w:r>
      <w:r>
        <w:rPr>
          <w:rFonts w:ascii="PMingLiU" w:cs="PMingLiU" w:eastAsia="PMingLiU" w:hAnsi="PMingLiU"/>
          <w:sz w:val="17"/>
          <w:szCs w:val="17"/>
          <w:color w:val="FFFFFF"/>
        </w:rPr>
        <w:t/>
      </w:r>
      <w:r>
        <w:rPr>
          <w:rFonts w:ascii="Arial" w:cs="Arial" w:eastAsia="Arial" w:hAnsi="Arial"/>
          <w:sz w:val="17"/>
          <w:szCs w:val="17"/>
          <w:color w:val="FFFFFF"/>
        </w:rPr>
        <w:t>ˡȇƳǣȇǕɀ</w:t>
      </w:r>
      <w:r>
        <w:rPr>
          <w:rFonts w:ascii="PMingLiU" w:cs="PMingLiU" w:eastAsia="PMingLiU" w:hAnsi="PMingLiU"/>
          <w:sz w:val="17"/>
          <w:szCs w:val="17"/>
          <w:color w:val="FFFFFF"/>
        </w:rPr>
        <w:t/>
      </w:r>
      <w:r>
        <w:rPr>
          <w:rFonts w:ascii="Arial" w:cs="Arial" w:eastAsia="Arial" w:hAnsi="Arial"/>
          <w:sz w:val="17"/>
          <w:szCs w:val="17"/>
          <w:color w:val="FFFFFF"/>
        </w:rPr>
        <w:t>ɯƺȸƺ</w:t>
      </w:r>
      <w:r>
        <w:rPr>
          <w:rFonts w:ascii="PMingLiU" w:cs="PMingLiU" w:eastAsia="PMingLiU" w:hAnsi="PMingLiU"/>
          <w:sz w:val="17"/>
          <w:szCs w:val="17"/>
          <w:color w:val="FFFFFF"/>
        </w:rPr>
        <w:t/>
      </w:r>
      <w:r>
        <w:rPr>
          <w:rFonts w:ascii="Arial" w:cs="Arial" w:eastAsia="Arial" w:hAnsi="Arial"/>
          <w:sz w:val="17"/>
          <w:szCs w:val="17"/>
          <w:color w:val="FFFFFF"/>
        </w:rPr>
        <w:t>ɀɎȸǣǸǣȇǕ</w:t>
      </w:r>
      <w:r>
        <w:rPr>
          <w:rFonts w:ascii="PMingLiU" w:cs="PMingLiU" w:eastAsia="PMingLiU" w:hAnsi="PMingLiU"/>
          <w:sz w:val="17"/>
          <w:szCs w:val="17"/>
          <w:color w:val="FFFFFF"/>
        </w:rPr>
        <w:t/>
      </w:r>
      <w:r>
        <w:rPr>
          <w:rFonts w:ascii="Arial" w:cs="Arial" w:eastAsia="Arial" w:hAnsi="Arial"/>
          <w:sz w:val="17"/>
          <w:szCs w:val="17"/>
          <w:color w:val="FFFFFF"/>
        </w:rPr>
        <w:t>ƏȇƳ</w:t>
      </w:r>
      <w:r>
        <w:rPr>
          <w:rFonts w:ascii="PMingLiU" w:cs="PMingLiU" w:eastAsia="PMingLiU" w:hAnsi="PMingLiU"/>
          <w:sz w:val="17"/>
          <w:szCs w:val="17"/>
          <w:color w:val="FFFFFF"/>
        </w:rPr>
        <w:t/>
      </w:r>
      <w:r>
        <w:rPr>
          <w:rFonts w:ascii="Arial" w:cs="Arial" w:eastAsia="Arial" w:hAnsi="Arial"/>
          <w:sz w:val="17"/>
          <w:szCs w:val="17"/>
          <w:color w:val="FFFFFF"/>
        </w:rPr>
        <w:t xml:space="preserve"> ɀɖȵȵȒȸɎƺƳ</w:t>
      </w:r>
      <w:r>
        <w:rPr>
          <w:rFonts w:ascii="PMingLiU" w:cs="PMingLiU" w:eastAsia="PMingLiU" w:hAnsi="PMingLiU"/>
          <w:sz w:val="17"/>
          <w:szCs w:val="17"/>
          <w:color w:val="FFFFFF"/>
        </w:rPr>
        <w:t/>
      </w:r>
      <w:r>
        <w:rPr>
          <w:rFonts w:ascii="Arial" w:cs="Arial" w:eastAsia="Arial" w:hAnsi="Arial"/>
          <w:sz w:val="17"/>
          <w:szCs w:val="17"/>
          <w:color w:val="FFFFFF"/>
        </w:rPr>
        <w:t>Ȓɖȸ</w:t>
      </w:r>
      <w:r>
        <w:rPr>
          <w:rFonts w:ascii="PMingLiU" w:cs="PMingLiU" w:eastAsia="PMingLiU" w:hAnsi="PMingLiU"/>
          <w:sz w:val="17"/>
          <w:szCs w:val="17"/>
          <w:color w:val="FFFFFF"/>
        </w:rPr>
        <w:t/>
      </w:r>
      <w:r>
        <w:rPr>
          <w:rFonts w:ascii="Arial" w:cs="Arial" w:eastAsia="Arial" w:hAnsi="Arial"/>
          <w:sz w:val="17"/>
          <w:szCs w:val="17"/>
          <w:color w:val="FFFFFF"/>
        </w:rPr>
        <w:t>ƏƳɮƏȇƬƺȅƺȇɎ</w:t>
      </w:r>
      <w:r>
        <w:rPr>
          <w:rFonts w:ascii="PMingLiU" w:cs="PMingLiU" w:eastAsia="PMingLiU" w:hAnsi="PMingLiU"/>
          <w:sz w:val="17"/>
          <w:szCs w:val="17"/>
          <w:color w:val="FFFFFF"/>
        </w:rPr>
        <w:t/>
      </w:r>
      <w:r>
        <w:rPr>
          <w:rFonts w:ascii="Arial" w:cs="Arial" w:eastAsia="Arial" w:hAnsi="Arial"/>
          <w:sz w:val="17"/>
          <w:szCs w:val="17"/>
          <w:color w:val="FFFFFF"/>
        </w:rPr>
        <w:t>Ȓǔ</w:t>
      </w:r>
      <w:r>
        <w:rPr>
          <w:rFonts w:ascii="PMingLiU" w:cs="PMingLiU" w:eastAsia="PMingLiU" w:hAnsi="PMingLiU"/>
          <w:sz w:val="17"/>
          <w:szCs w:val="17"/>
          <w:color w:val="FFFFFF"/>
        </w:rPr>
        <w:t/>
      </w:r>
      <w:r>
        <w:rPr>
          <w:rFonts w:ascii="Arial" w:cs="Arial" w:eastAsia="Arial" w:hAnsi="Arial"/>
          <w:sz w:val="17"/>
          <w:szCs w:val="17"/>
          <w:color w:val="FFFFFF"/>
        </w:rPr>
        <w:t>k³Xٮ</w:t>
      </w:r>
      <w:r>
        <w:rPr>
          <w:rFonts w:ascii="PMingLiU" w:cs="PMingLiU" w:eastAsia="PMingLiU" w:hAnsi="PMingLiU"/>
          <w:sz w:val="17"/>
          <w:szCs w:val="17"/>
          <w:color w:val="FFFFFF"/>
        </w:rPr>
        <w:t xml:space="preserve">   </w:t>
      </w:r>
      <w:r>
        <w:rPr>
          <w:rFonts w:ascii="Arial" w:cs="Arial" w:eastAsia="Arial" w:hAnsi="Arial"/>
          <w:sz w:val="17"/>
          <w:szCs w:val="17"/>
          <w:color w:val="FFFFFF"/>
        </w:rPr>
        <w:t>ǣȇɎȒ</w:t>
      </w:r>
      <w:r>
        <w:rPr>
          <w:rFonts w:ascii="PMingLiU" w:cs="PMingLiU" w:eastAsia="PMingLiU" w:hAnsi="PMingLiU"/>
          <w:sz w:val="17"/>
          <w:szCs w:val="17"/>
          <w:color w:val="FFFFFF"/>
        </w:rPr>
        <w:t/>
      </w:r>
      <w:r>
        <w:rPr>
          <w:rFonts w:ascii="Arial" w:cs="Arial" w:eastAsia="Arial" w:hAnsi="Arial"/>
          <w:sz w:val="17"/>
          <w:szCs w:val="17"/>
          <w:color w:val="FFFFFF"/>
        </w:rPr>
        <w:t>¨ǝƏɀƺ</w:t>
      </w:r>
      <w:r>
        <w:rPr>
          <w:rFonts w:ascii="PMingLiU" w:cs="PMingLiU" w:eastAsia="PMingLiU" w:hAnsi="PMingLiU"/>
          <w:sz w:val="17"/>
          <w:szCs w:val="17"/>
          <w:color w:val="FFFFFF"/>
        </w:rPr>
        <w:t/>
      </w:r>
      <w:r>
        <w:rPr>
          <w:rFonts w:ascii="Arial" w:cs="Arial" w:eastAsia="Arial" w:hAnsi="Arial"/>
          <w:sz w:val="17"/>
          <w:szCs w:val="17"/>
          <w:color w:val="FFFFFF"/>
        </w:rPr>
        <w:t>בِ</w:t>
      </w:r>
      <w:r>
        <w:rPr>
          <w:rFonts w:ascii="PMingLiU" w:cs="PMingLiU" w:eastAsia="PMingLiU" w:hAnsi="PMingLiU"/>
          <w:sz w:val="17"/>
          <w:szCs w:val="17"/>
          <w:color w:val="FFFFFF"/>
        </w:rPr>
        <w:t/>
      </w:r>
      <w:r>
        <w:rPr>
          <w:rFonts w:ascii="Arial" w:cs="Arial" w:eastAsia="Arial" w:hAnsi="Arial"/>
          <w:sz w:val="17"/>
          <w:szCs w:val="17"/>
          <w:color w:val="FFFFFF"/>
        </w:rPr>
        <w:t>Áǝƺɵ</w:t>
      </w:r>
      <w:r>
        <w:rPr>
          <w:rFonts w:ascii="PMingLiU" w:cs="PMingLiU" w:eastAsia="PMingLiU" w:hAnsi="PMingLiU"/>
          <w:sz w:val="17"/>
          <w:szCs w:val="17"/>
          <w:color w:val="FFFFFF"/>
        </w:rPr>
        <w:t/>
      </w:r>
      <w:r>
        <w:rPr>
          <w:rFonts w:ascii="Arial" w:cs="Arial" w:eastAsia="Arial" w:hAnsi="Arial"/>
          <w:sz w:val="17"/>
          <w:szCs w:val="17"/>
          <w:color w:val="FFFFFF"/>
        </w:rPr>
        <w:t>ƏǼɀȒ</w:t>
      </w:r>
      <w:r>
        <w:rPr>
          <w:rFonts w:ascii="PMingLiU" w:cs="PMingLiU" w:eastAsia="PMingLiU" w:hAnsi="PMingLiU"/>
          <w:sz w:val="17"/>
          <w:szCs w:val="17"/>
          <w:color w:val="FFFFFF"/>
        </w:rPr>
        <w:t/>
      </w:r>
      <w:r>
        <w:rPr>
          <w:rFonts w:ascii="Arial" w:cs="Arial" w:eastAsia="Arial" w:hAnsi="Arial"/>
          <w:sz w:val="17"/>
          <w:szCs w:val="17"/>
          <w:color w:val="FFFFFF"/>
        </w:rPr>
        <w:t>ȅƏȸǸƺƳ</w:t>
      </w:r>
      <w:r>
        <w:rPr>
          <w:rFonts w:ascii="PMingLiU" w:cs="PMingLiU" w:eastAsia="PMingLiU" w:hAnsi="PMingLiU"/>
          <w:sz w:val="17"/>
          <w:szCs w:val="17"/>
          <w:color w:val="FFFFFF"/>
        </w:rPr>
        <w:t/>
      </w:r>
      <w:r>
        <w:rPr>
          <w:rFonts w:ascii="Arial" w:cs="Arial" w:eastAsia="Arial" w:hAnsi="Arial"/>
          <w:sz w:val="17"/>
          <w:szCs w:val="17"/>
          <w:color w:val="FFFFFF"/>
        </w:rPr>
        <w:t>Ə</w:t>
      </w:r>
      <w:r>
        <w:rPr>
          <w:rFonts w:ascii="PMingLiU" w:cs="PMingLiU" w:eastAsia="PMingLiU" w:hAnsi="PMingLiU"/>
          <w:sz w:val="17"/>
          <w:szCs w:val="17"/>
          <w:color w:val="FFFFFF"/>
        </w:rPr>
        <w:t/>
      </w:r>
      <w:r>
        <w:rPr>
          <w:rFonts w:ascii="Arial" w:cs="Arial" w:eastAsia="Arial" w:hAnsi="Arial"/>
          <w:sz w:val="17"/>
          <w:szCs w:val="17"/>
          <w:color w:val="FFFFFF"/>
        </w:rPr>
        <w:t>ɀɎƺȵٮƬǝƏȇǕƺ</w:t>
      </w:r>
      <w:r>
        <w:rPr>
          <w:rFonts w:ascii="PMingLiU" w:cs="PMingLiU" w:eastAsia="PMingLiU" w:hAnsi="PMingLiU"/>
          <w:sz w:val="17"/>
          <w:szCs w:val="17"/>
          <w:color w:val="FFFFFF"/>
        </w:rPr>
        <w:t/>
      </w:r>
      <w:r>
        <w:rPr>
          <w:rFonts w:ascii="Arial" w:cs="Arial" w:eastAsia="Arial" w:hAnsi="Arial"/>
          <w:sz w:val="17"/>
          <w:szCs w:val="17"/>
          <w:color w:val="FFFFFF"/>
        </w:rPr>
        <w:t>ǣȇ</w:t>
      </w:r>
      <w:r>
        <w:rPr>
          <w:rFonts w:ascii="PMingLiU" w:cs="PMingLiU" w:eastAsia="PMingLiU" w:hAnsi="PMingLiU"/>
          <w:sz w:val="17"/>
          <w:szCs w:val="17"/>
          <w:color w:val="FFFFFF"/>
        </w:rPr>
        <w:t/>
      </w:r>
      <w:r>
        <w:rPr>
          <w:rFonts w:ascii="Arial" w:cs="Arial" w:eastAsia="Arial" w:hAnsi="Arial"/>
          <w:sz w:val="17"/>
          <w:szCs w:val="17"/>
          <w:color w:val="FFFFFF"/>
        </w:rPr>
        <w:t>Ȓɖȸ</w:t>
      </w:r>
      <w:r>
        <w:rPr>
          <w:rFonts w:ascii="PMingLiU" w:cs="PMingLiU" w:eastAsia="PMingLiU" w:hAnsi="PMingLiU"/>
          <w:sz w:val="17"/>
          <w:szCs w:val="17"/>
          <w:color w:val="FFFFFF"/>
        </w:rPr>
        <w:t/>
      </w:r>
      <w:r>
        <w:rPr>
          <w:rFonts w:ascii="Arial" w:cs="Arial" w:eastAsia="Arial" w:hAnsi="Arial"/>
          <w:sz w:val="17"/>
          <w:szCs w:val="17"/>
          <w:color w:val="FFFFFF"/>
        </w:rPr>
        <w:t>ƬȒȇɮǣƬɎǣȒȇ</w:t>
      </w:r>
      <w:r>
        <w:rPr>
          <w:rFonts w:ascii="PMingLiU" w:cs="PMingLiU" w:eastAsia="PMingLiU" w:hAnsi="PMingLiU"/>
          <w:sz w:val="17"/>
          <w:szCs w:val="17"/>
          <w:color w:val="FFFFFF"/>
        </w:rPr>
        <w:t/>
      </w:r>
      <w:r>
        <w:rPr>
          <w:rFonts w:ascii="Arial" w:cs="Arial" w:eastAsia="Arial" w:hAnsi="Arial"/>
          <w:sz w:val="17"/>
          <w:szCs w:val="17"/>
          <w:color w:val="FFFFFF"/>
        </w:rPr>
        <w:t xml:space="preserve"> ǣȇ</w:t>
      </w:r>
      <w:r>
        <w:rPr>
          <w:rFonts w:ascii="PMingLiU" w:cs="PMingLiU" w:eastAsia="PMingLiU" w:hAnsi="PMingLiU"/>
          <w:sz w:val="17"/>
          <w:szCs w:val="17"/>
          <w:color w:val="FFFFFF"/>
        </w:rPr>
        <w:t/>
      </w:r>
      <w:r>
        <w:rPr>
          <w:rFonts w:ascii="Arial" w:cs="Arial" w:eastAsia="Arial" w:hAnsi="Arial"/>
          <w:sz w:val="17"/>
          <w:szCs w:val="17"/>
          <w:color w:val="FFFFFF"/>
        </w:rPr>
        <w:t>k³Xٮ ټɀ</w:t>
      </w:r>
      <w:r>
        <w:rPr>
          <w:rFonts w:ascii="PMingLiU" w:cs="PMingLiU" w:eastAsia="PMingLiU" w:hAnsi="PMingLiU"/>
          <w:sz w:val="17"/>
          <w:szCs w:val="17"/>
          <w:color w:val="FFFFFF"/>
        </w:rPr>
        <w:t/>
      </w:r>
      <w:r>
        <w:rPr>
          <w:rFonts w:ascii="Arial" w:cs="Arial" w:eastAsia="Arial" w:hAnsi="Arial"/>
          <w:sz w:val="17"/>
          <w:szCs w:val="17"/>
          <w:color w:val="FFFFFF"/>
        </w:rPr>
        <w:t>ȵȒɎƺȇɎǣƏǼ</w:t>
      </w:r>
      <w:r>
        <w:rPr>
          <w:rFonts w:ascii="PMingLiU" w:cs="PMingLiU" w:eastAsia="PMingLiU" w:hAnsi="PMingLiU"/>
          <w:sz w:val="17"/>
          <w:szCs w:val="17"/>
          <w:color w:val="FFFFFF"/>
        </w:rPr>
        <w:t/>
      </w:r>
      <w:r>
        <w:rPr>
          <w:rFonts w:ascii="Arial" w:cs="Arial" w:eastAsia="Arial" w:hAnsi="Arial"/>
          <w:sz w:val="17"/>
          <w:szCs w:val="17"/>
          <w:color w:val="FFFFFF"/>
        </w:rPr>
        <w:t>ɎȒ</w:t>
      </w:r>
      <w:r>
        <w:rPr>
          <w:rFonts w:ascii="PMingLiU" w:cs="PMingLiU" w:eastAsia="PMingLiU" w:hAnsi="PMingLiU"/>
          <w:sz w:val="17"/>
          <w:szCs w:val="17"/>
          <w:color w:val="FFFFFF"/>
        </w:rPr>
        <w:t/>
      </w:r>
      <w:r>
        <w:rPr>
          <w:rFonts w:ascii="Arial" w:cs="Arial" w:eastAsia="Arial" w:hAnsi="Arial"/>
          <w:sz w:val="17"/>
          <w:szCs w:val="17"/>
          <w:color w:val="FFFFFF"/>
        </w:rPr>
        <w:t>ƫƺƬȒȅƺ</w:t>
      </w:r>
      <w:r>
        <w:rPr>
          <w:rFonts w:ascii="PMingLiU" w:cs="PMingLiU" w:eastAsia="PMingLiU" w:hAnsi="PMingLiU"/>
          <w:sz w:val="17"/>
          <w:szCs w:val="17"/>
          <w:color w:val="FFFFFF"/>
        </w:rPr>
        <w:t/>
      </w:r>
      <w:r>
        <w:rPr>
          <w:rFonts w:ascii="Arial" w:cs="Arial" w:eastAsia="Arial" w:hAnsi="Arial"/>
          <w:sz w:val="17"/>
          <w:szCs w:val="17"/>
          <w:color w:val="FFFFFF"/>
        </w:rPr>
        <w:t>Ə</w:t>
      </w:r>
      <w:r>
        <w:rPr>
          <w:rFonts w:ascii="PMingLiU" w:cs="PMingLiU" w:eastAsia="PMingLiU" w:hAnsi="PMingLiU"/>
          <w:sz w:val="17"/>
          <w:szCs w:val="17"/>
          <w:color w:val="FFFFFF"/>
        </w:rPr>
        <w:t/>
      </w:r>
      <w:r>
        <w:rPr>
          <w:rFonts w:ascii="Arial" w:cs="Arial" w:eastAsia="Arial" w:hAnsi="Arial"/>
          <w:sz w:val="17"/>
          <w:szCs w:val="17"/>
          <w:color w:val="FFFFFF"/>
        </w:rPr>
        <w:t>ƬȒȸȇƺȸɀɎȒȇƺ</w:t>
      </w:r>
      <w:r>
        <w:rPr>
          <w:rFonts w:ascii="PMingLiU" w:cs="PMingLiU" w:eastAsia="PMingLiU" w:hAnsi="PMingLiU"/>
          <w:sz w:val="17"/>
          <w:szCs w:val="17"/>
          <w:color w:val="FFFFFF"/>
        </w:rPr>
        <w:t/>
      </w:r>
      <w:r>
        <w:rPr>
          <w:rFonts w:ascii="Arial" w:cs="Arial" w:eastAsia="Arial" w:hAnsi="Arial"/>
          <w:sz w:val="17"/>
          <w:szCs w:val="17"/>
          <w:color w:val="FFFFFF"/>
        </w:rPr>
        <w:t>ɎǝƺȸƏȵɵ</w:t>
      </w:r>
      <w:r>
        <w:rPr>
          <w:rFonts w:ascii="PMingLiU" w:cs="PMingLiU" w:eastAsia="PMingLiU" w:hAnsi="PMingLiU"/>
          <w:sz w:val="17"/>
          <w:szCs w:val="17"/>
          <w:color w:val="FFFFFF"/>
        </w:rPr>
        <w:t/>
      </w:r>
      <w:r>
        <w:rPr>
          <w:rFonts w:ascii="Arial" w:cs="Arial" w:eastAsia="Arial" w:hAnsi="Arial"/>
          <w:sz w:val="17"/>
          <w:szCs w:val="17"/>
          <w:color w:val="FFFFFF"/>
        </w:rPr>
        <w:t>ǔȒȸ</w:t>
      </w:r>
      <w:r>
        <w:rPr>
          <w:rFonts w:ascii="PMingLiU" w:cs="PMingLiU" w:eastAsia="PMingLiU" w:hAnsi="PMingLiU"/>
          <w:sz w:val="17"/>
          <w:szCs w:val="17"/>
          <w:color w:val="FFFFFF"/>
        </w:rPr>
        <w:t/>
      </w:r>
      <w:r>
        <w:rPr>
          <w:rFonts w:ascii="Arial" w:cs="Arial" w:eastAsia="Arial" w:hAnsi="Arial"/>
          <w:sz w:val="17"/>
          <w:szCs w:val="17"/>
          <w:color w:val="FFFFFF"/>
        </w:rPr>
        <w:t>ȅƏƬɖǼƏȸ</w:t>
      </w:r>
      <w:r>
        <w:rPr>
          <w:rFonts w:ascii="PMingLiU" w:cs="PMingLiU" w:eastAsia="PMingLiU" w:hAnsi="PMingLiU"/>
          <w:sz w:val="17"/>
          <w:szCs w:val="17"/>
          <w:color w:val="FFFFFF"/>
        </w:rPr>
        <w:t/>
      </w:r>
      <w:r>
        <w:rPr>
          <w:rFonts w:ascii="Arial" w:cs="Arial" w:eastAsia="Arial" w:hAnsi="Arial"/>
          <w:sz w:val="17"/>
          <w:szCs w:val="17"/>
          <w:color w:val="FFFFFF"/>
        </w:rPr>
        <w:t>ƺƳƺȅƏ</w:t>
      </w:r>
      <w:r>
        <w:rPr>
          <w:rFonts w:ascii="PMingLiU" w:cs="PMingLiU" w:eastAsia="PMingLiU" w:hAnsi="PMingLiU"/>
          <w:sz w:val="17"/>
          <w:szCs w:val="17"/>
          <w:color w:val="FFFFFF"/>
        </w:rPr>
        <w:t/>
      </w:r>
      <w:r>
        <w:rPr>
          <w:rFonts w:ascii="Arial" w:cs="Arial" w:eastAsia="Arial" w:hAnsi="Arial"/>
          <w:sz w:val="17"/>
          <w:szCs w:val="17"/>
          <w:color w:val="FFFFFF"/>
        </w:rPr>
        <w:t>ɀƺƬȒȇƳƏȸɵ</w:t>
      </w:r>
      <w:r>
        <w:rPr>
          <w:rFonts w:ascii="PMingLiU" w:cs="PMingLiU" w:eastAsia="PMingLiU" w:hAnsi="PMingLiU"/>
          <w:sz w:val="17"/>
          <w:szCs w:val="17"/>
          <w:color w:val="FFFFFF"/>
        </w:rPr>
        <w:t/>
      </w:r>
      <w:r>
        <w:rPr>
          <w:rFonts w:ascii="Arial" w:cs="Arial" w:eastAsia="Arial" w:hAnsi="Arial"/>
          <w:sz w:val="17"/>
          <w:szCs w:val="17"/>
          <w:color w:val="FFFFFF"/>
        </w:rPr>
        <w:t>ɎȒ</w:t>
      </w:r>
      <w:r>
        <w:rPr>
          <w:rFonts w:ascii="PMingLiU" w:cs="PMingLiU" w:eastAsia="PMingLiU" w:hAnsi="PMingLiU"/>
          <w:sz w:val="17"/>
          <w:szCs w:val="17"/>
          <w:color w:val="FFFFFF"/>
        </w:rPr>
        <w:t/>
      </w:r>
      <w:r>
        <w:rPr>
          <w:rFonts w:ascii="Arial" w:cs="Arial" w:eastAsia="Arial" w:hAnsi="Arial"/>
          <w:sz w:val="17"/>
          <w:szCs w:val="17"/>
          <w:color w:val="FFFFFF"/>
        </w:rPr>
        <w:t>ǣȇˢƏȅȅƏɎǣȒȇ</w:t>
      </w:r>
      <w:r>
        <w:rPr>
          <w:rFonts w:ascii="PMingLiU" w:cs="PMingLiU" w:eastAsia="PMingLiU" w:hAnsi="PMingLiU"/>
          <w:sz w:val="17"/>
          <w:szCs w:val="17"/>
          <w:color w:val="FFFFFF"/>
        </w:rPr>
        <w:t/>
      </w:r>
      <w:r>
        <w:rPr>
          <w:rFonts w:ascii="Arial" w:cs="Arial" w:eastAsia="Arial" w:hAnsi="Arial"/>
          <w:sz w:val="17"/>
          <w:szCs w:val="17"/>
          <w:color w:val="FFFFFF"/>
        </w:rPr>
        <w:t xml:space="preserve"> </w:t>
      </w:r>
      <w:r>
        <w:rPr>
          <w:rFonts w:ascii="Arial" w:cs="Arial" w:eastAsia="Arial" w:hAnsi="Arial"/>
          <w:sz w:val="17"/>
          <w:szCs w:val="17"/>
          <w:color w:val="FFFFFF"/>
        </w:rPr>
        <w:t>(MESI), a heterogeneous group of diseases with no approved intravitreal biologic therapy.</w:t>
      </w:r>
    </w:p>
    <w:p>
      <w:pPr>
        <w:spacing w:after="0" w:line="277" w:lineRule="exact"/>
        <w:rPr>
          <w:sz w:val="20"/>
          <w:szCs w:val="20"/>
          <w:color w:val="auto"/>
        </w:rPr>
      </w:pPr>
    </w:p>
    <w:p>
      <w:pPr>
        <w:jc w:val="both"/>
        <w:spacing w:after="0" w:line="258" w:lineRule="exact"/>
        <w:rPr>
          <w:sz w:val="20"/>
          <w:szCs w:val="20"/>
          <w:color w:val="auto"/>
        </w:rPr>
      </w:pPr>
      <w:r>
        <w:rPr>
          <w:rFonts w:ascii="Arial" w:cs="Arial" w:eastAsia="Arial" w:hAnsi="Arial"/>
          <w:sz w:val="17"/>
          <w:szCs w:val="17"/>
          <w:color w:val="FFFFFF"/>
        </w:rPr>
        <w:t xml:space="preserve">Zenkuda™ (tarcocimab), our lead investigational therapy built on our ABC Platform, has now completed four successful Phase 3 studies across diabetic retinopathy, retinal vein occlusion and wet AMD. Zenkuda </w:t>
      </w:r>
      <w:r>
        <w:rPr>
          <w:rFonts w:ascii="Arial" w:cs="Arial" w:eastAsia="Arial" w:hAnsi="Arial"/>
          <w:sz w:val="17"/>
          <w:szCs w:val="17"/>
          <w:color w:val="FFFFFF"/>
        </w:rPr>
        <w:t>ǝƏɀ</w:t>
      </w:r>
      <w:r>
        <w:rPr>
          <w:rFonts w:ascii="PMingLiU" w:cs="PMingLiU" w:eastAsia="PMingLiU" w:hAnsi="PMingLiU"/>
          <w:sz w:val="17"/>
          <w:szCs w:val="17"/>
          <w:color w:val="FFFFFF"/>
        </w:rPr>
        <w:t/>
      </w:r>
      <w:r>
        <w:rPr>
          <w:rFonts w:ascii="Arial" w:cs="Arial" w:eastAsia="Arial" w:hAnsi="Arial"/>
          <w:sz w:val="17"/>
          <w:szCs w:val="17"/>
          <w:color w:val="FFFFFF"/>
        </w:rPr>
        <w:t>ƳƺȅȒȇɀɎȸƏɎƺƳ</w:t>
      </w:r>
      <w:r>
        <w:rPr>
          <w:rFonts w:ascii="PMingLiU" w:cs="PMingLiU" w:eastAsia="PMingLiU" w:hAnsi="PMingLiU"/>
          <w:sz w:val="17"/>
          <w:szCs w:val="17"/>
          <w:color w:val="FFFFFF"/>
        </w:rPr>
        <w:t/>
      </w:r>
      <w:r>
        <w:rPr>
          <w:rFonts w:ascii="Arial" w:cs="Arial" w:eastAsia="Arial" w:hAnsi="Arial"/>
          <w:sz w:val="17"/>
          <w:szCs w:val="17"/>
          <w:color w:val="FFFFFF"/>
        </w:rPr>
        <w:t>הٮȅȒȇɎǝ</w:t>
      </w:r>
      <w:r>
        <w:rPr>
          <w:rFonts w:ascii="PMingLiU" w:cs="PMingLiU" w:eastAsia="PMingLiU" w:hAnsi="PMingLiU"/>
          <w:sz w:val="17"/>
          <w:szCs w:val="17"/>
          <w:color w:val="FFFFFF"/>
        </w:rPr>
        <w:t/>
      </w:r>
      <w:r>
        <w:rPr>
          <w:rFonts w:ascii="Arial" w:cs="Arial" w:eastAsia="Arial" w:hAnsi="Arial"/>
          <w:sz w:val="17"/>
          <w:szCs w:val="17"/>
          <w:color w:val="FFFFFF"/>
        </w:rPr>
        <w:t>ȵȸƺƳȒȅǣȇƏȇɎ</w:t>
      </w:r>
      <w:r>
        <w:rPr>
          <w:rFonts w:ascii="PMingLiU" w:cs="PMingLiU" w:eastAsia="PMingLiU" w:hAnsi="PMingLiU"/>
          <w:sz w:val="17"/>
          <w:szCs w:val="17"/>
          <w:color w:val="FFFFFF"/>
        </w:rPr>
        <w:t/>
      </w:r>
      <w:r>
        <w:rPr>
          <w:rFonts w:ascii="Arial" w:cs="Arial" w:eastAsia="Arial" w:hAnsi="Arial"/>
          <w:sz w:val="17"/>
          <w:szCs w:val="17"/>
          <w:color w:val="FFFFFF"/>
        </w:rPr>
        <w:t>ƳȒɀǣȇǕ</w:t>
      </w:r>
      <w:r>
        <w:rPr>
          <w:rFonts w:ascii="PMingLiU" w:cs="PMingLiU" w:eastAsia="PMingLiU" w:hAnsi="PMingLiU"/>
          <w:sz w:val="17"/>
          <w:szCs w:val="17"/>
          <w:color w:val="FFFFFF"/>
        </w:rPr>
        <w:t/>
      </w:r>
      <w:r>
        <w:rPr>
          <w:rFonts w:ascii="Arial" w:cs="Arial" w:eastAsia="Arial" w:hAnsi="Arial"/>
          <w:sz w:val="17"/>
          <w:szCs w:val="17"/>
          <w:color w:val="FFFFFF"/>
        </w:rPr>
        <w:t>ǣȇɎƺȸɮƏǼɀ</w:t>
      </w:r>
      <w:r>
        <w:rPr>
          <w:rFonts w:ascii="PMingLiU" w:cs="PMingLiU" w:eastAsia="PMingLiU" w:hAnsi="PMingLiU"/>
          <w:sz w:val="17"/>
          <w:szCs w:val="17"/>
          <w:color w:val="FFFFFF"/>
        </w:rPr>
        <w:t/>
      </w:r>
      <w:r>
        <w:rPr>
          <w:rFonts w:ascii="Arial" w:cs="Arial" w:eastAsia="Arial" w:hAnsi="Arial"/>
          <w:sz w:val="17"/>
          <w:szCs w:val="17"/>
          <w:color w:val="FFFFFF"/>
        </w:rPr>
        <w:t>ɯǣɎǝ</w:t>
      </w:r>
      <w:r>
        <w:rPr>
          <w:rFonts w:ascii="PMingLiU" w:cs="PMingLiU" w:eastAsia="PMingLiU" w:hAnsi="PMingLiU"/>
          <w:sz w:val="17"/>
          <w:szCs w:val="17"/>
          <w:color w:val="FFFFFF"/>
        </w:rPr>
        <w:t/>
      </w:r>
      <w:r>
        <w:rPr>
          <w:rFonts w:ascii="Arial" w:cs="Arial" w:eastAsia="Arial" w:hAnsi="Arial"/>
          <w:sz w:val="17"/>
          <w:szCs w:val="17"/>
          <w:color w:val="FFFFFF"/>
        </w:rPr>
        <w:t>Ə</w:t>
      </w:r>
      <w:r>
        <w:rPr>
          <w:rFonts w:ascii="PMingLiU" w:cs="PMingLiU" w:eastAsia="PMingLiU" w:hAnsi="PMingLiU"/>
          <w:sz w:val="17"/>
          <w:szCs w:val="17"/>
          <w:color w:val="FFFFFF"/>
        </w:rPr>
        <w:t/>
      </w:r>
      <w:r>
        <w:rPr>
          <w:rFonts w:ascii="Arial" w:cs="Arial" w:eastAsia="Arial" w:hAnsi="Arial"/>
          <w:sz w:val="17"/>
          <w:szCs w:val="17"/>
          <w:color w:val="FFFFFF"/>
        </w:rPr>
        <w:t>ƬȒȇɀǣɀɎƺȇɎ</w:t>
      </w:r>
      <w:r>
        <w:rPr>
          <w:rFonts w:ascii="PMingLiU" w:cs="PMingLiU" w:eastAsia="PMingLiU" w:hAnsi="PMingLiU"/>
          <w:sz w:val="17"/>
          <w:szCs w:val="17"/>
          <w:color w:val="FFFFFF"/>
        </w:rPr>
        <w:t/>
      </w:r>
      <w:r>
        <w:rPr>
          <w:rFonts w:ascii="Arial" w:cs="Arial" w:eastAsia="Arial" w:hAnsi="Arial"/>
          <w:sz w:val="17"/>
          <w:szCs w:val="17"/>
          <w:color w:val="FFFFFF"/>
        </w:rPr>
        <w:t>ɀƏǔƺɎɵ</w:t>
      </w:r>
      <w:r>
        <w:rPr>
          <w:rFonts w:ascii="PMingLiU" w:cs="PMingLiU" w:eastAsia="PMingLiU" w:hAnsi="PMingLiU"/>
          <w:sz w:val="17"/>
          <w:szCs w:val="17"/>
          <w:color w:val="FFFFFF"/>
        </w:rPr>
        <w:t/>
      </w:r>
      <w:r>
        <w:rPr>
          <w:rFonts w:ascii="Arial" w:cs="Arial" w:eastAsia="Arial" w:hAnsi="Arial"/>
          <w:sz w:val="17"/>
          <w:szCs w:val="17"/>
          <w:color w:val="FFFFFF"/>
        </w:rPr>
        <w:t>ȵȸȒˡǼƺً</w:t>
      </w:r>
      <w:r>
        <w:rPr>
          <w:rFonts w:ascii="PMingLiU" w:cs="PMingLiU" w:eastAsia="PMingLiU" w:hAnsi="PMingLiU"/>
          <w:sz w:val="17"/>
          <w:szCs w:val="17"/>
          <w:color w:val="FFFFFF"/>
        </w:rPr>
        <w:t/>
      </w:r>
      <w:r>
        <w:rPr>
          <w:rFonts w:ascii="Arial" w:cs="Arial" w:eastAsia="Arial" w:hAnsi="Arial"/>
          <w:sz w:val="17"/>
          <w:szCs w:val="17"/>
          <w:color w:val="FFFFFF"/>
        </w:rPr>
        <w:t>ɀɖȵȵȒȸɎǣȇǕ</w:t>
      </w:r>
      <w:r>
        <w:rPr>
          <w:rFonts w:ascii="PMingLiU" w:cs="PMingLiU" w:eastAsia="PMingLiU" w:hAnsi="PMingLiU"/>
          <w:sz w:val="17"/>
          <w:szCs w:val="17"/>
          <w:color w:val="FFFFFF"/>
        </w:rPr>
        <w:t/>
      </w:r>
      <w:r>
        <w:rPr>
          <w:rFonts w:ascii="Arial" w:cs="Arial" w:eastAsia="Arial" w:hAnsi="Arial"/>
          <w:sz w:val="17"/>
          <w:szCs w:val="17"/>
          <w:color w:val="FFFFFF"/>
        </w:rPr>
        <w:t xml:space="preserve"> </w:t>
      </w:r>
      <w:r>
        <w:rPr>
          <w:rFonts w:ascii="Arial" w:cs="Arial" w:eastAsia="Arial" w:hAnsi="Arial"/>
          <w:sz w:val="17"/>
          <w:szCs w:val="17"/>
          <w:color w:val="FFFFFF"/>
        </w:rPr>
        <w:t xml:space="preserve">its emergence as a durable, mainstay biologic. Following the recent positive GLOW2 results in March </w:t>
      </w:r>
      <w:r>
        <w:rPr>
          <w:rFonts w:ascii="Arial" w:cs="Arial" w:eastAsia="Arial" w:hAnsi="Arial"/>
          <w:sz w:val="17"/>
          <w:szCs w:val="17"/>
          <w:color w:val="FFFFFF"/>
        </w:rPr>
        <w:t>א אהً</w:t>
      </w:r>
      <w:r>
        <w:rPr>
          <w:rFonts w:ascii="PMingLiU" w:cs="PMingLiU" w:eastAsia="PMingLiU" w:hAnsi="PMingLiU"/>
          <w:sz w:val="17"/>
          <w:szCs w:val="17"/>
          <w:color w:val="FFFFFF"/>
        </w:rPr>
        <w:t/>
      </w:r>
      <w:r>
        <w:rPr>
          <w:rFonts w:ascii="Arial" w:cs="Arial" w:eastAsia="Arial" w:hAnsi="Arial"/>
          <w:sz w:val="17"/>
          <w:szCs w:val="17"/>
          <w:color w:val="FFFFFF"/>
        </w:rPr>
        <w:t>ñƺȇǸɖƳƏ</w:t>
      </w:r>
      <w:r>
        <w:rPr>
          <w:rFonts w:ascii="PMingLiU" w:cs="PMingLiU" w:eastAsia="PMingLiU" w:hAnsi="PMingLiU"/>
          <w:sz w:val="17"/>
          <w:szCs w:val="17"/>
          <w:color w:val="FFFFFF"/>
        </w:rPr>
        <w:t/>
      </w:r>
      <w:r>
        <w:rPr>
          <w:rFonts w:ascii="Arial" w:cs="Arial" w:eastAsia="Arial" w:hAnsi="Arial"/>
          <w:sz w:val="17"/>
          <w:szCs w:val="17"/>
          <w:color w:val="FFFFFF"/>
        </w:rPr>
        <w:t>ǣɀ</w:t>
      </w:r>
      <w:r>
        <w:rPr>
          <w:rFonts w:ascii="PMingLiU" w:cs="PMingLiU" w:eastAsia="PMingLiU" w:hAnsi="PMingLiU"/>
          <w:sz w:val="17"/>
          <w:szCs w:val="17"/>
          <w:color w:val="FFFFFF"/>
        </w:rPr>
        <w:t/>
      </w:r>
      <w:r>
        <w:rPr>
          <w:rFonts w:ascii="Arial" w:cs="Arial" w:eastAsia="Arial" w:hAnsi="Arial"/>
          <w:sz w:val="17"/>
          <w:szCs w:val="17"/>
          <w:color w:val="FFFFFF"/>
        </w:rPr>
        <w:t>ȇȒɯ</w:t>
      </w:r>
      <w:r>
        <w:rPr>
          <w:rFonts w:ascii="PMingLiU" w:cs="PMingLiU" w:eastAsia="PMingLiU" w:hAnsi="PMingLiU"/>
          <w:sz w:val="17"/>
          <w:szCs w:val="17"/>
          <w:color w:val="FFFFFF"/>
        </w:rPr>
        <w:t/>
      </w:r>
      <w:r>
        <w:rPr>
          <w:rFonts w:ascii="Arial" w:cs="Arial" w:eastAsia="Arial" w:hAnsi="Arial"/>
          <w:sz w:val="17"/>
          <w:szCs w:val="17"/>
          <w:color w:val="FFFFFF"/>
        </w:rPr>
        <w:t>Ȓȇ</w:t>
      </w:r>
      <w:r>
        <w:rPr>
          <w:rFonts w:ascii="PMingLiU" w:cs="PMingLiU" w:eastAsia="PMingLiU" w:hAnsi="PMingLiU"/>
          <w:sz w:val="17"/>
          <w:szCs w:val="17"/>
          <w:color w:val="FFFFFF"/>
        </w:rPr>
        <w:t/>
      </w:r>
      <w:r>
        <w:rPr>
          <w:rFonts w:ascii="Arial" w:cs="Arial" w:eastAsia="Arial" w:hAnsi="Arial"/>
          <w:sz w:val="17"/>
          <w:szCs w:val="17"/>
          <w:color w:val="FFFFFF"/>
        </w:rPr>
        <w:t>Ə</w:t>
      </w:r>
      <w:r>
        <w:rPr>
          <w:rFonts w:ascii="PMingLiU" w:cs="PMingLiU" w:eastAsia="PMingLiU" w:hAnsi="PMingLiU"/>
          <w:sz w:val="17"/>
          <w:szCs w:val="17"/>
          <w:color w:val="FFFFFF"/>
        </w:rPr>
        <w:t/>
      </w:r>
      <w:r>
        <w:rPr>
          <w:rFonts w:ascii="Arial" w:cs="Arial" w:eastAsia="Arial" w:hAnsi="Arial"/>
          <w:sz w:val="17"/>
          <w:szCs w:val="17"/>
          <w:color w:val="FFFFFF"/>
        </w:rPr>
        <w:t>ȵƏɎǝ</w:t>
      </w:r>
      <w:r>
        <w:rPr>
          <w:rFonts w:ascii="PMingLiU" w:cs="PMingLiU" w:eastAsia="PMingLiU" w:hAnsi="PMingLiU"/>
          <w:sz w:val="17"/>
          <w:szCs w:val="17"/>
          <w:color w:val="FFFFFF"/>
        </w:rPr>
        <w:t/>
      </w:r>
      <w:r>
        <w:rPr>
          <w:rFonts w:ascii="Arial" w:cs="Arial" w:eastAsia="Arial" w:hAnsi="Arial"/>
          <w:sz w:val="17"/>
          <w:szCs w:val="17"/>
          <w:color w:val="FFFFFF"/>
        </w:rPr>
        <w:t>ɎȒɯƏȸƳ</w:t>
      </w:r>
      <w:r>
        <w:rPr>
          <w:rFonts w:ascii="PMingLiU" w:cs="PMingLiU" w:eastAsia="PMingLiU" w:hAnsi="PMingLiU"/>
          <w:sz w:val="17"/>
          <w:szCs w:val="17"/>
          <w:color w:val="FFFFFF"/>
        </w:rPr>
        <w:t/>
      </w:r>
      <w:r>
        <w:rPr>
          <w:rFonts w:ascii="Arial" w:cs="Arial" w:eastAsia="Arial" w:hAnsi="Arial"/>
          <w:sz w:val="17"/>
          <w:szCs w:val="17"/>
          <w:color w:val="FFFFFF"/>
        </w:rPr>
        <w:t>Ə</w:t>
      </w:r>
      <w:r>
        <w:rPr>
          <w:rFonts w:ascii="PMingLiU" w:cs="PMingLiU" w:eastAsia="PMingLiU" w:hAnsi="PMingLiU"/>
          <w:sz w:val="17"/>
          <w:szCs w:val="17"/>
          <w:color w:val="FFFFFF"/>
        </w:rPr>
        <w:t/>
      </w:r>
      <w:r>
        <w:rPr>
          <w:rFonts w:ascii="Arial" w:cs="Arial" w:eastAsia="Arial" w:hAnsi="Arial"/>
          <w:sz w:val="17"/>
          <w:szCs w:val="17"/>
          <w:color w:val="FFFFFF"/>
        </w:rPr>
        <w:t>ȵǼƏȇȇƺƳ</w:t>
      </w:r>
      <w:r>
        <w:rPr>
          <w:rFonts w:ascii="PMingLiU" w:cs="PMingLiU" w:eastAsia="PMingLiU" w:hAnsi="PMingLiU"/>
          <w:sz w:val="17"/>
          <w:szCs w:val="17"/>
          <w:color w:val="FFFFFF"/>
        </w:rPr>
        <w:t/>
      </w:r>
      <w:r>
        <w:rPr>
          <w:rFonts w:ascii="Arial" w:cs="Arial" w:eastAsia="Arial" w:hAnsi="Arial"/>
          <w:sz w:val="17"/>
          <w:szCs w:val="17"/>
          <w:color w:val="FFFFFF"/>
        </w:rPr>
        <w:t xml:space="preserve"> n</w:t>
      </w:r>
      <w:r>
        <w:rPr>
          <w:rFonts w:ascii="PMingLiU" w:cs="PMingLiU" w:eastAsia="PMingLiU" w:hAnsi="PMingLiU"/>
          <w:sz w:val="17"/>
          <w:szCs w:val="17"/>
          <w:color w:val="FFFFFF"/>
        </w:rPr>
        <w:t/>
      </w:r>
      <w:r>
        <w:rPr>
          <w:rFonts w:ascii="Arial" w:cs="Arial" w:eastAsia="Arial" w:hAnsi="Arial"/>
          <w:sz w:val="17"/>
          <w:szCs w:val="17"/>
          <w:color w:val="FFFFFF"/>
        </w:rPr>
        <w:t xml:space="preserve">ˡǼǣȇǕ </w:t>
      </w:r>
      <w:r>
        <w:rPr>
          <w:rFonts w:ascii="PMingLiU" w:cs="PMingLiU" w:eastAsia="PMingLiU" w:hAnsi="PMingLiU"/>
          <w:sz w:val="17"/>
          <w:szCs w:val="17"/>
          <w:color w:val="FFFFFF"/>
        </w:rPr>
        <w:t/>
      </w:r>
      <w:r>
        <w:rPr>
          <w:rFonts w:ascii="Arial" w:cs="Arial" w:eastAsia="Arial" w:hAnsi="Arial"/>
          <w:sz w:val="17"/>
          <w:szCs w:val="17"/>
          <w:color w:val="FFFFFF"/>
        </w:rPr>
        <w:t>Ə</w:t>
      </w:r>
      <w:r>
        <w:rPr>
          <w:rFonts w:ascii="PMingLiU" w:cs="PMingLiU" w:eastAsia="PMingLiU" w:hAnsi="PMingLiU"/>
          <w:sz w:val="17"/>
          <w:szCs w:val="17"/>
          <w:color w:val="FFFFFF"/>
        </w:rPr>
        <w:t/>
      </w:r>
      <w:r>
        <w:rPr>
          <w:rFonts w:ascii="Arial" w:cs="Arial" w:eastAsia="Arial" w:hAnsi="Arial"/>
          <w:sz w:val="17"/>
          <w:szCs w:val="17"/>
          <w:color w:val="FFFFFF"/>
        </w:rPr>
        <w:t>ȅǣǼƺɀɎȒȇƺ</w:t>
      </w:r>
      <w:r>
        <w:rPr>
          <w:rFonts w:ascii="PMingLiU" w:cs="PMingLiU" w:eastAsia="PMingLiU" w:hAnsi="PMingLiU"/>
          <w:sz w:val="17"/>
          <w:szCs w:val="17"/>
          <w:color w:val="FFFFFF"/>
        </w:rPr>
        <w:t/>
      </w:r>
      <w:r>
        <w:rPr>
          <w:rFonts w:ascii="Arial" w:cs="Arial" w:eastAsia="Arial" w:hAnsi="Arial"/>
          <w:sz w:val="17"/>
          <w:szCs w:val="17"/>
          <w:color w:val="FFFFFF"/>
        </w:rPr>
        <w:t>ɎǝƏɎ</w:t>
      </w:r>
      <w:r>
        <w:rPr>
          <w:rFonts w:ascii="PMingLiU" w:cs="PMingLiU" w:eastAsia="PMingLiU" w:hAnsi="PMingLiU"/>
          <w:sz w:val="17"/>
          <w:szCs w:val="17"/>
          <w:color w:val="FFFFFF"/>
        </w:rPr>
        <w:t/>
      </w:r>
      <w:r>
        <w:rPr>
          <w:rFonts w:ascii="Arial" w:cs="Arial" w:eastAsia="Arial" w:hAnsi="Arial"/>
          <w:sz w:val="17"/>
          <w:szCs w:val="17"/>
          <w:color w:val="FFFFFF"/>
        </w:rPr>
        <w:t>ȅƏȸǸɀ</w:t>
      </w:r>
      <w:r>
        <w:rPr>
          <w:rFonts w:ascii="PMingLiU" w:cs="PMingLiU" w:eastAsia="PMingLiU" w:hAnsi="PMingLiU"/>
          <w:sz w:val="17"/>
          <w:szCs w:val="17"/>
          <w:color w:val="FFFFFF"/>
        </w:rPr>
        <w:t/>
      </w:r>
      <w:r>
        <w:rPr>
          <w:rFonts w:ascii="Arial" w:cs="Arial" w:eastAsia="Arial" w:hAnsi="Arial"/>
          <w:sz w:val="17"/>
          <w:szCs w:val="17"/>
          <w:color w:val="FFFFFF"/>
        </w:rPr>
        <w:t>Ə</w:t>
      </w:r>
      <w:r>
        <w:rPr>
          <w:rFonts w:ascii="PMingLiU" w:cs="PMingLiU" w:eastAsia="PMingLiU" w:hAnsi="PMingLiU"/>
          <w:sz w:val="17"/>
          <w:szCs w:val="17"/>
          <w:color w:val="FFFFFF"/>
        </w:rPr>
        <w:t/>
      </w:r>
      <w:r>
        <w:rPr>
          <w:rFonts w:ascii="Arial" w:cs="Arial" w:eastAsia="Arial" w:hAnsi="Arial"/>
          <w:sz w:val="17"/>
          <w:szCs w:val="17"/>
          <w:color w:val="FFFFFF"/>
        </w:rPr>
        <w:t>ȅƺƏȇǣȇǕǔɖǼ</w:t>
      </w:r>
      <w:r>
        <w:rPr>
          <w:rFonts w:ascii="PMingLiU" w:cs="PMingLiU" w:eastAsia="PMingLiU" w:hAnsi="PMingLiU"/>
          <w:sz w:val="17"/>
          <w:szCs w:val="17"/>
          <w:color w:val="FFFFFF"/>
        </w:rPr>
        <w:t/>
      </w:r>
      <w:r>
        <w:rPr>
          <w:rFonts w:ascii="Arial" w:cs="Arial" w:eastAsia="Arial" w:hAnsi="Arial"/>
          <w:sz w:val="17"/>
          <w:szCs w:val="17"/>
          <w:color w:val="FFFFFF"/>
        </w:rPr>
        <w:t xml:space="preserve"> </w:t>
      </w:r>
      <w:r>
        <w:rPr>
          <w:rFonts w:ascii="Arial" w:cs="Arial" w:eastAsia="Arial" w:hAnsi="Arial"/>
          <w:sz w:val="17"/>
          <w:szCs w:val="17"/>
          <w:color w:val="FFFFFF"/>
        </w:rPr>
        <w:t>step in Kodiak’s maturation as a company.</w:t>
      </w:r>
    </w:p>
    <w:p>
      <w:pPr>
        <w:spacing w:after="0" w:line="277" w:lineRule="exact"/>
        <w:rPr>
          <w:sz w:val="20"/>
          <w:szCs w:val="20"/>
          <w:color w:val="auto"/>
        </w:rPr>
      </w:pPr>
    </w:p>
    <w:p>
      <w:pPr>
        <w:jc w:val="both"/>
        <w:spacing w:after="0" w:line="255" w:lineRule="exact"/>
        <w:rPr>
          <w:sz w:val="20"/>
          <w:szCs w:val="20"/>
          <w:color w:val="auto"/>
        </w:rPr>
      </w:pPr>
      <w:r>
        <w:rPr>
          <w:rFonts w:ascii="Arial" w:cs="Arial" w:eastAsia="Arial" w:hAnsi="Arial"/>
          <w:sz w:val="19"/>
          <w:szCs w:val="19"/>
          <w:color w:val="FFFFFF"/>
        </w:rPr>
        <w:t>«ƺɀɖǼɎɀ</w:t>
      </w:r>
      <w:r>
        <w:rPr>
          <w:rFonts w:ascii="PMingLiU" w:cs="PMingLiU" w:eastAsia="PMingLiU" w:hAnsi="PMingLiU"/>
          <w:sz w:val="19"/>
          <w:szCs w:val="19"/>
          <w:color w:val="FFFFFF"/>
        </w:rPr>
        <w:t/>
      </w:r>
      <w:r>
        <w:rPr>
          <w:rFonts w:ascii="Arial" w:cs="Arial" w:eastAsia="Arial" w:hAnsi="Arial"/>
          <w:sz w:val="19"/>
          <w:szCs w:val="19"/>
          <w:color w:val="FFFFFF"/>
        </w:rPr>
        <w:t>ǔȸȒȅ</w:t>
      </w:r>
      <w:r>
        <w:rPr>
          <w:rFonts w:ascii="PMingLiU" w:cs="PMingLiU" w:eastAsia="PMingLiU" w:hAnsi="PMingLiU"/>
          <w:sz w:val="19"/>
          <w:szCs w:val="19"/>
          <w:color w:val="FFFFFF"/>
        </w:rPr>
        <w:t/>
      </w:r>
      <w:r>
        <w:rPr>
          <w:rFonts w:ascii="Arial" w:cs="Arial" w:eastAsia="Arial" w:hAnsi="Arial"/>
          <w:sz w:val="19"/>
          <w:szCs w:val="19"/>
          <w:color w:val="FFFFFF"/>
        </w:rPr>
        <w:t>Jn</w:t>
      </w:r>
      <w:r>
        <w:rPr>
          <w:rFonts w:ascii="PMingLiU" w:cs="PMingLiU" w:eastAsia="PMingLiU" w:hAnsi="PMingLiU"/>
          <w:sz w:val="19"/>
          <w:szCs w:val="19"/>
          <w:color w:val="FFFFFF"/>
        </w:rPr>
        <w:t></w:t>
      </w:r>
      <w:r>
        <w:rPr>
          <w:rFonts w:ascii="Arial" w:cs="Arial" w:eastAsia="Arial" w:hAnsi="Arial"/>
          <w:sz w:val="19"/>
          <w:szCs w:val="19"/>
          <w:color w:val="FFFFFF"/>
        </w:rPr>
        <w:t>áא</w:t>
      </w:r>
      <w:r>
        <w:rPr>
          <w:rFonts w:ascii="PMingLiU" w:cs="PMingLiU" w:eastAsia="PMingLiU" w:hAnsi="PMingLiU"/>
          <w:sz w:val="19"/>
          <w:szCs w:val="19"/>
          <w:color w:val="FFFFFF"/>
        </w:rPr>
        <w:t/>
      </w:r>
      <w:r>
        <w:rPr>
          <w:rFonts w:ascii="Arial" w:cs="Arial" w:eastAsia="Arial" w:hAnsi="Arial"/>
          <w:sz w:val="19"/>
          <w:szCs w:val="19"/>
          <w:color w:val="FFFFFF"/>
        </w:rPr>
        <w:t>ǔɖȸɎǝƺȸ</w:t>
      </w:r>
      <w:r>
        <w:rPr>
          <w:rFonts w:ascii="PMingLiU" w:cs="PMingLiU" w:eastAsia="PMingLiU" w:hAnsi="PMingLiU"/>
          <w:sz w:val="19"/>
          <w:szCs w:val="19"/>
          <w:color w:val="FFFFFF"/>
        </w:rPr>
        <w:t/>
      </w:r>
      <w:r>
        <w:rPr>
          <w:rFonts w:ascii="Arial" w:cs="Arial" w:eastAsia="Arial" w:hAnsi="Arial"/>
          <w:sz w:val="19"/>
          <w:szCs w:val="19"/>
          <w:color w:val="FFFFFF"/>
        </w:rPr>
        <w:t>ƺǼƺɮƏɎƺƳ</w:t>
      </w:r>
      <w:r>
        <w:rPr>
          <w:rFonts w:ascii="PMingLiU" w:cs="PMingLiU" w:eastAsia="PMingLiU" w:hAnsi="PMingLiU"/>
          <w:sz w:val="19"/>
          <w:szCs w:val="19"/>
          <w:color w:val="FFFFFF"/>
        </w:rPr>
        <w:t/>
      </w:r>
      <w:r>
        <w:rPr>
          <w:rFonts w:ascii="Arial" w:cs="Arial" w:eastAsia="Arial" w:hAnsi="Arial"/>
          <w:sz w:val="19"/>
          <w:szCs w:val="19"/>
          <w:color w:val="FFFFFF"/>
        </w:rPr>
        <w:t>Ɏǝƺ</w:t>
      </w:r>
      <w:r>
        <w:rPr>
          <w:rFonts w:ascii="PMingLiU" w:cs="PMingLiU" w:eastAsia="PMingLiU" w:hAnsi="PMingLiU"/>
          <w:sz w:val="19"/>
          <w:szCs w:val="19"/>
          <w:color w:val="FFFFFF"/>
        </w:rPr>
        <w:t/>
      </w:r>
      <w:r>
        <w:rPr>
          <w:rFonts w:ascii="Arial" w:cs="Arial" w:eastAsia="Arial" w:hAnsi="Arial"/>
          <w:sz w:val="19"/>
          <w:szCs w:val="19"/>
          <w:color w:val="FFFFFF"/>
        </w:rPr>
        <w:t>ǔƏɮȒȸƏƫǼƺ</w:t>
      </w:r>
      <w:r>
        <w:rPr>
          <w:rFonts w:ascii="PMingLiU" w:cs="PMingLiU" w:eastAsia="PMingLiU" w:hAnsi="PMingLiU"/>
          <w:sz w:val="19"/>
          <w:szCs w:val="19"/>
          <w:color w:val="FFFFFF"/>
        </w:rPr>
        <w:t/>
      </w:r>
      <w:r>
        <w:rPr>
          <w:rFonts w:ascii="Arial" w:cs="Arial" w:eastAsia="Arial" w:hAnsi="Arial"/>
          <w:sz w:val="19"/>
          <w:szCs w:val="19"/>
          <w:color w:val="FFFFFF"/>
        </w:rPr>
        <w:t>ɀƏǔƺɎɵ</w:t>
      </w:r>
      <w:r>
        <w:rPr>
          <w:rFonts w:ascii="PMingLiU" w:cs="PMingLiU" w:eastAsia="PMingLiU" w:hAnsi="PMingLiU"/>
          <w:sz w:val="19"/>
          <w:szCs w:val="19"/>
          <w:color w:val="FFFFFF"/>
        </w:rPr>
        <w:t/>
      </w:r>
      <w:r>
        <w:rPr>
          <w:rFonts w:ascii="Arial" w:cs="Arial" w:eastAsia="Arial" w:hAnsi="Arial"/>
          <w:sz w:val="19"/>
          <w:szCs w:val="19"/>
          <w:color w:val="FFFFFF"/>
        </w:rPr>
        <w:t>ȵȸȒˡǼƺ</w:t>
      </w:r>
      <w:r>
        <w:rPr>
          <w:rFonts w:ascii="PMingLiU" w:cs="PMingLiU" w:eastAsia="PMingLiU" w:hAnsi="PMingLiU"/>
          <w:sz w:val="19"/>
          <w:szCs w:val="19"/>
          <w:color w:val="FFFFFF"/>
        </w:rPr>
        <w:t/>
      </w:r>
      <w:r>
        <w:rPr>
          <w:rFonts w:ascii="Arial" w:cs="Arial" w:eastAsia="Arial" w:hAnsi="Arial"/>
          <w:sz w:val="19"/>
          <w:szCs w:val="19"/>
          <w:color w:val="FFFFFF"/>
        </w:rPr>
        <w:t>Ȓǔ</w:t>
      </w:r>
      <w:r>
        <w:rPr>
          <w:rFonts w:ascii="PMingLiU" w:cs="PMingLiU" w:eastAsia="PMingLiU" w:hAnsi="PMingLiU"/>
          <w:sz w:val="19"/>
          <w:szCs w:val="19"/>
          <w:color w:val="FFFFFF"/>
        </w:rPr>
        <w:t/>
      </w:r>
      <w:r>
        <w:rPr>
          <w:rFonts w:ascii="Arial" w:cs="Arial" w:eastAsia="Arial" w:hAnsi="Arial"/>
          <w:sz w:val="19"/>
          <w:szCs w:val="19"/>
          <w:color w:val="FFFFFF"/>
        </w:rPr>
        <w:t>Ȓɖȸ</w:t>
      </w:r>
      <w:r>
        <w:rPr>
          <w:rFonts w:ascii="PMingLiU" w:cs="PMingLiU" w:eastAsia="PMingLiU" w:hAnsi="PMingLiU"/>
          <w:sz w:val="19"/>
          <w:szCs w:val="19"/>
          <w:color w:val="FFFFFF"/>
        </w:rPr>
        <w:t/>
      </w:r>
      <w:r>
        <w:rPr>
          <w:rFonts w:ascii="Arial" w:cs="Arial" w:eastAsia="Arial" w:hAnsi="Arial"/>
          <w:sz w:val="19"/>
          <w:szCs w:val="19"/>
          <w:color w:val="FFFFFF"/>
        </w:rPr>
        <w:t xml:space="preserve"> !</w:t>
      </w:r>
      <w:r>
        <w:rPr>
          <w:rFonts w:ascii="PMingLiU" w:cs="PMingLiU" w:eastAsia="PMingLiU" w:hAnsi="PMingLiU"/>
          <w:sz w:val="19"/>
          <w:szCs w:val="19"/>
          <w:color w:val="FFFFFF"/>
        </w:rPr>
        <w:t/>
      </w:r>
      <w:r>
        <w:rPr>
          <w:rFonts w:ascii="Arial" w:cs="Arial" w:eastAsia="Arial" w:hAnsi="Arial"/>
          <w:sz w:val="19"/>
          <w:szCs w:val="19"/>
          <w:color w:val="FFFFFF"/>
        </w:rPr>
        <w:t>ȵǼƏɎǔȒȸȅ</w:t>
      </w:r>
      <w:r>
        <w:rPr>
          <w:rFonts w:ascii="PMingLiU" w:cs="PMingLiU" w:eastAsia="PMingLiU" w:hAnsi="PMingLiU"/>
          <w:sz w:val="19"/>
          <w:szCs w:val="19"/>
          <w:color w:val="FFFFFF"/>
        </w:rPr>
        <w:t/>
      </w:r>
      <w:r>
        <w:rPr>
          <w:rFonts w:ascii="Arial" w:cs="Arial" w:eastAsia="Arial" w:hAnsi="Arial"/>
          <w:sz w:val="19"/>
          <w:szCs w:val="19"/>
          <w:color w:val="FFFFFF"/>
        </w:rPr>
        <w:t>ƏȇƳ</w:t>
      </w:r>
      <w:r>
        <w:rPr>
          <w:rFonts w:ascii="PMingLiU" w:cs="PMingLiU" w:eastAsia="PMingLiU" w:hAnsi="PMingLiU"/>
          <w:sz w:val="19"/>
          <w:szCs w:val="19"/>
          <w:color w:val="FFFFFF"/>
        </w:rPr>
        <w:t/>
      </w:r>
      <w:r>
        <w:rPr>
          <w:rFonts w:ascii="Arial" w:cs="Arial" w:eastAsia="Arial" w:hAnsi="Arial"/>
          <w:sz w:val="19"/>
          <w:szCs w:val="19"/>
          <w:color w:val="FFFFFF"/>
        </w:rPr>
        <w:t>ƳƺǼǣɮƺȸƺƳ</w:t>
      </w:r>
      <w:r>
        <w:rPr>
          <w:rFonts w:ascii="PMingLiU" w:cs="PMingLiU" w:eastAsia="PMingLiU" w:hAnsi="PMingLiU"/>
          <w:sz w:val="19"/>
          <w:szCs w:val="19"/>
          <w:color w:val="FFFFFF"/>
        </w:rPr>
        <w:t/>
      </w:r>
      <w:r>
        <w:rPr>
          <w:rFonts w:ascii="Arial" w:cs="Arial" w:eastAsia="Arial" w:hAnsi="Arial"/>
          <w:sz w:val="19"/>
          <w:szCs w:val="19"/>
          <w:color w:val="FFFFFF"/>
        </w:rPr>
        <w:t>Ə</w:t>
      </w:r>
      <w:r>
        <w:rPr>
          <w:rFonts w:ascii="PMingLiU" w:cs="PMingLiU" w:eastAsia="PMingLiU" w:hAnsi="PMingLiU"/>
          <w:sz w:val="19"/>
          <w:szCs w:val="19"/>
          <w:color w:val="FFFFFF"/>
        </w:rPr>
        <w:t/>
      </w:r>
      <w:r>
        <w:rPr>
          <w:rFonts w:ascii="Arial" w:cs="Arial" w:eastAsia="Arial" w:hAnsi="Arial"/>
          <w:sz w:val="19"/>
          <w:szCs w:val="19"/>
          <w:color w:val="FFFFFF"/>
        </w:rPr>
        <w:t xml:space="preserve"> </w:t>
      </w:r>
      <w:r>
        <w:rPr>
          <w:rFonts w:ascii="Arial" w:cs="Arial" w:eastAsia="Arial" w:hAnsi="Arial"/>
          <w:sz w:val="19"/>
          <w:szCs w:val="19"/>
          <w:color w:val="FFFFFF"/>
        </w:rPr>
        <w:t>robust and consistent clinical signal, strengthening our conviction in the ABC platform’s potential to enable differentiated, disease-modifying medicines across vision-threatening diseases.</w:t>
      </w:r>
    </w:p>
    <w:p>
      <w:pPr>
        <w:spacing w:after="0" w:line="276" w:lineRule="exact"/>
        <w:rPr>
          <w:sz w:val="20"/>
          <w:szCs w:val="20"/>
          <w:color w:val="auto"/>
        </w:rPr>
      </w:pPr>
    </w:p>
    <w:p>
      <w:pPr>
        <w:jc w:val="both"/>
        <w:spacing w:after="0" w:line="256" w:lineRule="exact"/>
        <w:rPr>
          <w:sz w:val="20"/>
          <w:szCs w:val="20"/>
          <w:color w:val="auto"/>
        </w:rPr>
      </w:pPr>
      <w:r>
        <w:rPr>
          <w:rFonts w:ascii="Arial" w:cs="Arial" w:eastAsia="Arial" w:hAnsi="Arial"/>
          <w:sz w:val="19"/>
          <w:szCs w:val="19"/>
          <w:color w:val="FFFFFF"/>
        </w:rPr>
        <w:t>k³Xٮד ً</w:t>
      </w:r>
      <w:r>
        <w:rPr>
          <w:rFonts w:ascii="PMingLiU" w:cs="PMingLiU" w:eastAsia="PMingLiU" w:hAnsi="PMingLiU"/>
          <w:sz w:val="19"/>
          <w:szCs w:val="19"/>
          <w:color w:val="FFFFFF"/>
        </w:rPr>
        <w:t/>
      </w:r>
      <w:r>
        <w:rPr>
          <w:rFonts w:ascii="Arial" w:cs="Arial" w:eastAsia="Arial" w:hAnsi="Arial"/>
          <w:sz w:val="19"/>
          <w:szCs w:val="19"/>
          <w:color w:val="FFFFFF"/>
        </w:rPr>
        <w:t>Ȓɖȸ</w:t>
      </w:r>
      <w:r>
        <w:rPr>
          <w:rFonts w:ascii="PMingLiU" w:cs="PMingLiU" w:eastAsia="PMingLiU" w:hAnsi="PMingLiU"/>
          <w:sz w:val="19"/>
          <w:szCs w:val="19"/>
          <w:color w:val="FFFFFF"/>
        </w:rPr>
        <w:t/>
      </w:r>
      <w:r>
        <w:rPr>
          <w:rFonts w:ascii="Arial" w:cs="Arial" w:eastAsia="Arial" w:hAnsi="Arial"/>
          <w:sz w:val="19"/>
          <w:szCs w:val="19"/>
          <w:color w:val="FFFFFF"/>
        </w:rPr>
        <w:t>ǣȇɮƺɀɎǣǕƏɎǣȒȇƏǼ</w:t>
      </w:r>
      <w:r>
        <w:rPr>
          <w:rFonts w:ascii="PMingLiU" w:cs="PMingLiU" w:eastAsia="PMingLiU" w:hAnsi="PMingLiU"/>
          <w:sz w:val="19"/>
          <w:szCs w:val="19"/>
          <w:color w:val="FFFFFF"/>
        </w:rPr>
        <w:t/>
      </w:r>
      <w:r>
        <w:rPr>
          <w:rFonts w:ascii="Arial" w:cs="Arial" w:eastAsia="Arial" w:hAnsi="Arial"/>
          <w:sz w:val="19"/>
          <w:szCs w:val="19"/>
          <w:color w:val="FFFFFF"/>
        </w:rPr>
        <w:t>ƏȇɎǣٮXnٮהً</w:t>
      </w:r>
      <w:r>
        <w:rPr>
          <w:rFonts w:ascii="PMingLiU" w:cs="PMingLiU" w:eastAsia="PMingLiU" w:hAnsi="PMingLiU"/>
          <w:sz w:val="19"/>
          <w:szCs w:val="19"/>
          <w:color w:val="FFFFFF"/>
        </w:rPr>
        <w:t/>
      </w:r>
      <w:r>
        <w:rPr>
          <w:rFonts w:ascii="Arial" w:cs="Arial" w:eastAsia="Arial" w:hAnsi="Arial"/>
          <w:sz w:val="19"/>
          <w:szCs w:val="19"/>
          <w:color w:val="FFFFFF"/>
        </w:rPr>
        <w:t>à0JIٮɎȸƏȵ</w:t>
      </w:r>
      <w:r>
        <w:rPr>
          <w:rFonts w:ascii="PMingLiU" w:cs="PMingLiU" w:eastAsia="PMingLiU" w:hAnsi="PMingLiU"/>
          <w:sz w:val="19"/>
          <w:szCs w:val="19"/>
          <w:color w:val="FFFFFF"/>
        </w:rPr>
        <w:t/>
      </w:r>
      <w:r>
        <w:rPr>
          <w:rFonts w:ascii="Arial" w:cs="Arial" w:eastAsia="Arial" w:hAnsi="Arial"/>
          <w:sz w:val="19"/>
          <w:szCs w:val="19"/>
          <w:color w:val="FFFFFF"/>
        </w:rPr>
        <w:t>ƫǣɀȵƺƬǣˡƬ</w:t>
      </w:r>
      <w:r>
        <w:rPr>
          <w:rFonts w:ascii="PMingLiU" w:cs="PMingLiU" w:eastAsia="PMingLiU" w:hAnsi="PMingLiU"/>
          <w:sz w:val="19"/>
          <w:szCs w:val="19"/>
          <w:color w:val="FFFFFF"/>
        </w:rPr>
        <w:t/>
      </w:r>
      <w:r>
        <w:rPr>
          <w:rFonts w:ascii="Arial" w:cs="Arial" w:eastAsia="Arial" w:hAnsi="Arial"/>
          <w:sz w:val="19"/>
          <w:szCs w:val="19"/>
          <w:color w:val="FFFFFF"/>
        </w:rPr>
        <w:t>ɎǝƺȸƏȵɵ</w:t>
      </w:r>
      <w:r>
        <w:rPr>
          <w:rFonts w:ascii="PMingLiU" w:cs="PMingLiU" w:eastAsia="PMingLiU" w:hAnsi="PMingLiU"/>
          <w:sz w:val="19"/>
          <w:szCs w:val="19"/>
          <w:color w:val="FFFFFF"/>
        </w:rPr>
        <w:t/>
      </w:r>
      <w:r>
        <w:rPr>
          <w:rFonts w:ascii="Arial" w:cs="Arial" w:eastAsia="Arial" w:hAnsi="Arial"/>
          <w:sz w:val="19"/>
          <w:szCs w:val="19"/>
          <w:color w:val="FFFFFF"/>
        </w:rPr>
        <w:t>ƫɖǣǼɎ</w:t>
      </w:r>
      <w:r>
        <w:rPr>
          <w:rFonts w:ascii="PMingLiU" w:cs="PMingLiU" w:eastAsia="PMingLiU" w:hAnsi="PMingLiU"/>
          <w:sz w:val="19"/>
          <w:szCs w:val="19"/>
          <w:color w:val="FFFFFF"/>
        </w:rPr>
        <w:t/>
      </w:r>
      <w:r>
        <w:rPr>
          <w:rFonts w:ascii="Arial" w:cs="Arial" w:eastAsia="Arial" w:hAnsi="Arial"/>
          <w:sz w:val="19"/>
          <w:szCs w:val="19"/>
          <w:color w:val="FFFFFF"/>
        </w:rPr>
        <w:t>Ȓȇ</w:t>
      </w:r>
      <w:r>
        <w:rPr>
          <w:rFonts w:ascii="PMingLiU" w:cs="PMingLiU" w:eastAsia="PMingLiU" w:hAnsi="PMingLiU"/>
          <w:sz w:val="19"/>
          <w:szCs w:val="19"/>
          <w:color w:val="FFFFFF"/>
        </w:rPr>
        <w:t/>
      </w:r>
      <w:r>
        <w:rPr>
          <w:rFonts w:ascii="Arial" w:cs="Arial" w:eastAsia="Arial" w:hAnsi="Arial"/>
          <w:sz w:val="19"/>
          <w:szCs w:val="19"/>
          <w:color w:val="FFFFFF"/>
        </w:rPr>
        <w:t>Ɏǝƺ</w:t>
      </w:r>
      <w:r>
        <w:rPr>
          <w:rFonts w:ascii="PMingLiU" w:cs="PMingLiU" w:eastAsia="PMingLiU" w:hAnsi="PMingLiU"/>
          <w:sz w:val="19"/>
          <w:szCs w:val="19"/>
          <w:color w:val="FFFFFF"/>
        </w:rPr>
        <w:t/>
      </w:r>
      <w:r>
        <w:rPr>
          <w:rFonts w:ascii="Arial" w:cs="Arial" w:eastAsia="Arial" w:hAnsi="Arial"/>
          <w:sz w:val="19"/>
          <w:szCs w:val="19"/>
          <w:color w:val="FFFFFF"/>
        </w:rPr>
        <w:t xml:space="preserve"> !</w:t>
      </w:r>
      <w:r>
        <w:rPr>
          <w:rFonts w:ascii="PMingLiU" w:cs="PMingLiU" w:eastAsia="PMingLiU" w:hAnsi="PMingLiU"/>
          <w:sz w:val="19"/>
          <w:szCs w:val="19"/>
          <w:color w:val="FFFFFF"/>
        </w:rPr>
        <w:t/>
      </w:r>
      <w:r>
        <w:rPr>
          <w:rFonts w:ascii="Arial" w:cs="Arial" w:eastAsia="Arial" w:hAnsi="Arial"/>
          <w:sz w:val="19"/>
          <w:szCs w:val="19"/>
          <w:color w:val="FFFFFF"/>
        </w:rPr>
        <w:t>ȵǼƏɎǔȒȸȅً</w:t>
      </w:r>
      <w:r>
        <w:rPr>
          <w:rFonts w:ascii="PMingLiU" w:cs="PMingLiU" w:eastAsia="PMingLiU" w:hAnsi="PMingLiU"/>
          <w:sz w:val="19"/>
          <w:szCs w:val="19"/>
          <w:color w:val="FFFFFF"/>
        </w:rPr>
        <w:t/>
      </w:r>
      <w:r>
        <w:rPr>
          <w:rFonts w:ascii="Arial" w:cs="Arial" w:eastAsia="Arial" w:hAnsi="Arial"/>
          <w:sz w:val="19"/>
          <w:szCs w:val="19"/>
          <w:color w:val="FFFFFF"/>
        </w:rPr>
        <w:t>ǣɀ</w:t>
      </w:r>
      <w:r>
        <w:rPr>
          <w:rFonts w:ascii="PMingLiU" w:cs="PMingLiU" w:eastAsia="PMingLiU" w:hAnsi="PMingLiU"/>
          <w:sz w:val="19"/>
          <w:szCs w:val="19"/>
          <w:color w:val="FFFFFF"/>
        </w:rPr>
        <w:t/>
      </w:r>
      <w:r>
        <w:rPr>
          <w:rFonts w:ascii="Arial" w:cs="Arial" w:eastAsia="Arial" w:hAnsi="Arial"/>
          <w:sz w:val="19"/>
          <w:szCs w:val="19"/>
          <w:color w:val="FFFFFF"/>
        </w:rPr>
        <w:t>ƏƳɮƏȇƬǣȇǕ</w:t>
      </w:r>
      <w:r>
        <w:rPr>
          <w:rFonts w:ascii="PMingLiU" w:cs="PMingLiU" w:eastAsia="PMingLiU" w:hAnsi="PMingLiU"/>
          <w:sz w:val="19"/>
          <w:szCs w:val="19"/>
          <w:color w:val="FFFFFF"/>
        </w:rPr>
        <w:t/>
      </w:r>
      <w:r>
        <w:rPr>
          <w:rFonts w:ascii="Arial" w:cs="Arial" w:eastAsia="Arial" w:hAnsi="Arial"/>
          <w:sz w:val="19"/>
          <w:szCs w:val="19"/>
          <w:color w:val="FFFFFF"/>
        </w:rPr>
        <w:t xml:space="preserve"> ɎǝȸȒɖǕǝ</w:t>
      </w:r>
      <w:r>
        <w:rPr>
          <w:rFonts w:ascii="PMingLiU" w:cs="PMingLiU" w:eastAsia="PMingLiU" w:hAnsi="PMingLiU"/>
          <w:sz w:val="19"/>
          <w:szCs w:val="19"/>
          <w:color w:val="FFFFFF"/>
        </w:rPr>
        <w:t/>
      </w:r>
      <w:r>
        <w:rPr>
          <w:rFonts w:ascii="Arial" w:cs="Arial" w:eastAsia="Arial" w:hAnsi="Arial"/>
          <w:sz w:val="19"/>
          <w:szCs w:val="19"/>
          <w:color w:val="FFFFFF"/>
        </w:rPr>
        <w:t>¨ǝƏɀƺ</w:t>
      </w:r>
      <w:r>
        <w:rPr>
          <w:rFonts w:ascii="PMingLiU" w:cs="PMingLiU" w:eastAsia="PMingLiU" w:hAnsi="PMingLiU"/>
          <w:sz w:val="19"/>
          <w:szCs w:val="19"/>
          <w:color w:val="FFFFFF"/>
        </w:rPr>
        <w:t/>
      </w:r>
      <w:r>
        <w:rPr>
          <w:rFonts w:ascii="Arial" w:cs="Arial" w:eastAsia="Arial" w:hAnsi="Arial"/>
          <w:sz w:val="19"/>
          <w:szCs w:val="19"/>
          <w:color w:val="FFFFFF"/>
        </w:rPr>
        <w:t>ב</w:t>
      </w:r>
      <w:r>
        <w:rPr>
          <w:rFonts w:ascii="PMingLiU" w:cs="PMingLiU" w:eastAsia="PMingLiU" w:hAnsi="PMingLiU"/>
          <w:sz w:val="19"/>
          <w:szCs w:val="19"/>
          <w:color w:val="FFFFFF"/>
        </w:rPr>
        <w:t/>
      </w:r>
      <w:r>
        <w:rPr>
          <w:rFonts w:ascii="Arial" w:cs="Arial" w:eastAsia="Arial" w:hAnsi="Arial"/>
          <w:sz w:val="19"/>
          <w:szCs w:val="19"/>
          <w:color w:val="FFFFFF"/>
        </w:rPr>
        <w:t>ǣȇ</w:t>
      </w:r>
      <w:r>
        <w:rPr>
          <w:rFonts w:ascii="PMingLiU" w:cs="PMingLiU" w:eastAsia="PMingLiU" w:hAnsi="PMingLiU"/>
          <w:sz w:val="19"/>
          <w:szCs w:val="19"/>
          <w:color w:val="FFFFFF"/>
        </w:rPr>
        <w:t/>
      </w:r>
      <w:r>
        <w:rPr>
          <w:rFonts w:ascii="Arial" w:cs="Arial" w:eastAsia="Arial" w:hAnsi="Arial"/>
          <w:sz w:val="19"/>
          <w:szCs w:val="19"/>
          <w:color w:val="FFFFFF"/>
        </w:rPr>
        <w:t>ɯƺɎ</w:t>
      </w:r>
      <w:r>
        <w:rPr>
          <w:rFonts w:ascii="PMingLiU" w:cs="PMingLiU" w:eastAsia="PMingLiU" w:hAnsi="PMingLiU"/>
          <w:sz w:val="19"/>
          <w:szCs w:val="19"/>
          <w:color w:val="FFFFFF"/>
        </w:rPr>
        <w:t/>
      </w:r>
      <w:r>
        <w:rPr>
          <w:rFonts w:ascii="Arial" w:cs="Arial" w:eastAsia="Arial" w:hAnsi="Arial"/>
          <w:sz w:val="19"/>
          <w:szCs w:val="19"/>
          <w:color w:val="FFFFFF"/>
        </w:rPr>
        <w:t>x(ِ</w:t>
      </w:r>
      <w:r>
        <w:rPr>
          <w:rFonts w:ascii="PMingLiU" w:cs="PMingLiU" w:eastAsia="PMingLiU" w:hAnsi="PMingLiU"/>
          <w:sz w:val="19"/>
          <w:szCs w:val="19"/>
          <w:color w:val="FFFFFF"/>
        </w:rPr>
        <w:t/>
      </w:r>
      <w:r>
        <w:rPr>
          <w:rFonts w:ascii="Arial" w:cs="Arial" w:eastAsia="Arial" w:hAnsi="Arial"/>
          <w:sz w:val="19"/>
          <w:szCs w:val="19"/>
          <w:color w:val="FFFFFF"/>
        </w:rPr>
        <w:t xml:space="preserve"> ɵ</w:t>
      </w:r>
      <w:r>
        <w:rPr>
          <w:rFonts w:ascii="PMingLiU" w:cs="PMingLiU" w:eastAsia="PMingLiU" w:hAnsi="PMingLiU"/>
          <w:sz w:val="19"/>
          <w:szCs w:val="19"/>
          <w:color w:val="FFFFFF"/>
        </w:rPr>
        <w:t/>
      </w:r>
      <w:r>
        <w:rPr>
          <w:rFonts w:ascii="Arial" w:cs="Arial" w:eastAsia="Arial" w:hAnsi="Arial"/>
          <w:sz w:val="19"/>
          <w:szCs w:val="19"/>
          <w:color w:val="FFFFFF"/>
        </w:rPr>
        <w:t>ƏƳƳȸƺɀɀǣȇǕ</w:t>
      </w:r>
      <w:r>
        <w:rPr>
          <w:rFonts w:ascii="PMingLiU" w:cs="PMingLiU" w:eastAsia="PMingLiU" w:hAnsi="PMingLiU"/>
          <w:sz w:val="19"/>
          <w:szCs w:val="19"/>
          <w:color w:val="FFFFFF"/>
        </w:rPr>
        <w:t/>
      </w:r>
      <w:r>
        <w:rPr>
          <w:rFonts w:ascii="Arial" w:cs="Arial" w:eastAsia="Arial" w:hAnsi="Arial"/>
          <w:sz w:val="19"/>
          <w:szCs w:val="19"/>
          <w:color w:val="FFFFFF"/>
        </w:rPr>
        <w:t>ǣȇˢƏȅȅƏɎȒȸɵ</w:t>
      </w:r>
      <w:r>
        <w:rPr>
          <w:rFonts w:ascii="PMingLiU" w:cs="PMingLiU" w:eastAsia="PMingLiU" w:hAnsi="PMingLiU"/>
          <w:sz w:val="19"/>
          <w:szCs w:val="19"/>
          <w:color w:val="FFFFFF"/>
        </w:rPr>
        <w:t/>
      </w:r>
      <w:r>
        <w:rPr>
          <w:rFonts w:ascii="Arial" w:cs="Arial" w:eastAsia="Arial" w:hAnsi="Arial"/>
          <w:sz w:val="19"/>
          <w:szCs w:val="19"/>
          <w:color w:val="FFFFFF"/>
        </w:rPr>
        <w:t>ȵƏɎǝɯƏɵɀ</w:t>
      </w:r>
      <w:r>
        <w:rPr>
          <w:rFonts w:ascii="PMingLiU" w:cs="PMingLiU" w:eastAsia="PMingLiU" w:hAnsi="PMingLiU"/>
          <w:sz w:val="19"/>
          <w:szCs w:val="19"/>
          <w:color w:val="FFFFFF"/>
        </w:rPr>
        <w:t/>
      </w:r>
      <w:r>
        <w:rPr>
          <w:rFonts w:ascii="Arial" w:cs="Arial" w:eastAsia="Arial" w:hAnsi="Arial"/>
          <w:sz w:val="19"/>
          <w:szCs w:val="19"/>
          <w:color w:val="FFFFFF"/>
        </w:rPr>
        <w:t>ǣȇ</w:t>
      </w:r>
      <w:r>
        <w:rPr>
          <w:rFonts w:ascii="PMingLiU" w:cs="PMingLiU" w:eastAsia="PMingLiU" w:hAnsi="PMingLiU"/>
          <w:sz w:val="19"/>
          <w:szCs w:val="19"/>
          <w:color w:val="FFFFFF"/>
        </w:rPr>
        <w:t/>
      </w:r>
      <w:r>
        <w:rPr>
          <w:rFonts w:ascii="Arial" w:cs="Arial" w:eastAsia="Arial" w:hAnsi="Arial"/>
          <w:sz w:val="19"/>
          <w:szCs w:val="19"/>
          <w:color w:val="FFFFFF"/>
        </w:rPr>
        <w:t>ƏƳƳǣɎǣȒȇ</w:t>
      </w:r>
      <w:r>
        <w:rPr>
          <w:rFonts w:ascii="PMingLiU" w:cs="PMingLiU" w:eastAsia="PMingLiU" w:hAnsi="PMingLiU"/>
          <w:sz w:val="19"/>
          <w:szCs w:val="19"/>
          <w:color w:val="FFFFFF"/>
        </w:rPr>
        <w:t/>
      </w:r>
      <w:r>
        <w:rPr>
          <w:rFonts w:ascii="Arial" w:cs="Arial" w:eastAsia="Arial" w:hAnsi="Arial"/>
          <w:sz w:val="19"/>
          <w:szCs w:val="19"/>
          <w:color w:val="FFFFFF"/>
        </w:rPr>
        <w:t>ɎȒ</w:t>
      </w:r>
      <w:r>
        <w:rPr>
          <w:rFonts w:ascii="PMingLiU" w:cs="PMingLiU" w:eastAsia="PMingLiU" w:hAnsi="PMingLiU"/>
          <w:sz w:val="19"/>
          <w:szCs w:val="19"/>
          <w:color w:val="FFFFFF"/>
        </w:rPr>
        <w:t/>
      </w:r>
      <w:r>
        <w:rPr>
          <w:rFonts w:ascii="Arial" w:cs="Arial" w:eastAsia="Arial" w:hAnsi="Arial"/>
          <w:sz w:val="19"/>
          <w:szCs w:val="19"/>
          <w:color w:val="FFFFFF"/>
        </w:rPr>
        <w:t>à0JIً</w:t>
      </w:r>
      <w:r>
        <w:rPr>
          <w:rFonts w:ascii="PMingLiU" w:cs="PMingLiU" w:eastAsia="PMingLiU" w:hAnsi="PMingLiU"/>
          <w:sz w:val="19"/>
          <w:szCs w:val="19"/>
          <w:color w:val="FFFFFF"/>
        </w:rPr>
        <w:t/>
      </w:r>
      <w:r>
        <w:rPr>
          <w:rFonts w:ascii="Arial" w:cs="Arial" w:eastAsia="Arial" w:hAnsi="Arial"/>
          <w:sz w:val="19"/>
          <w:szCs w:val="19"/>
          <w:color w:val="FFFFFF"/>
        </w:rPr>
        <w:t>k³Xٮד</w:t>
      </w:r>
      <w:r>
        <w:rPr>
          <w:rFonts w:ascii="PMingLiU" w:cs="PMingLiU" w:eastAsia="PMingLiU" w:hAnsi="PMingLiU"/>
          <w:sz w:val="19"/>
          <w:szCs w:val="19"/>
          <w:color w:val="FFFFFF"/>
        </w:rPr>
        <w:t xml:space="preserve">  </w:t>
      </w:r>
      <w:r>
        <w:rPr>
          <w:rFonts w:ascii="Arial" w:cs="Arial" w:eastAsia="Arial" w:hAnsi="Arial"/>
          <w:sz w:val="19"/>
          <w:szCs w:val="19"/>
          <w:color w:val="FFFFFF"/>
        </w:rPr>
        <w:t>ȸƺˢƺƬɎɀ</w:t>
      </w:r>
      <w:r>
        <w:rPr>
          <w:rFonts w:ascii="PMingLiU" w:cs="PMingLiU" w:eastAsia="PMingLiU" w:hAnsi="PMingLiU"/>
          <w:sz w:val="19"/>
          <w:szCs w:val="19"/>
          <w:color w:val="FFFFFF"/>
        </w:rPr>
        <w:t/>
      </w:r>
      <w:r>
        <w:rPr>
          <w:rFonts w:ascii="Arial" w:cs="Arial" w:eastAsia="Arial" w:hAnsi="Arial"/>
          <w:sz w:val="19"/>
          <w:szCs w:val="19"/>
          <w:color w:val="FFFFFF"/>
        </w:rPr>
        <w:t xml:space="preserve"> </w:t>
      </w:r>
      <w:r>
        <w:rPr>
          <w:rFonts w:ascii="Arial" w:cs="Arial" w:eastAsia="Arial" w:hAnsi="Arial"/>
          <w:sz w:val="19"/>
          <w:szCs w:val="19"/>
          <w:color w:val="FFFFFF"/>
        </w:rPr>
        <w:t>our effort to move beyond single-mechanism approaches and explore whether broadening the biology can translate into improved outcomes.</w:t>
      </w:r>
    </w:p>
    <w:p>
      <w:pPr>
        <w:spacing w:after="0" w:line="277" w:lineRule="exact"/>
        <w:rPr>
          <w:sz w:val="20"/>
          <w:szCs w:val="20"/>
          <w:color w:val="auto"/>
        </w:rPr>
      </w:pPr>
    </w:p>
    <w:p>
      <w:pPr>
        <w:jc w:val="both"/>
        <w:spacing w:after="0" w:line="256" w:lineRule="exact"/>
        <w:rPr>
          <w:sz w:val="20"/>
          <w:szCs w:val="20"/>
          <w:color w:val="auto"/>
        </w:rPr>
      </w:pPr>
      <w:r>
        <w:rPr>
          <w:rFonts w:ascii="Arial" w:cs="Arial" w:eastAsia="Arial" w:hAnsi="Arial"/>
          <w:sz w:val="16"/>
          <w:szCs w:val="16"/>
          <w:color w:val="FFFFFF"/>
        </w:rPr>
        <w:t>ÁȒǕƺɎǝƺȸً</w:t>
      </w:r>
      <w:r>
        <w:rPr>
          <w:rFonts w:ascii="PMingLiU" w:cs="PMingLiU" w:eastAsia="PMingLiU" w:hAnsi="PMingLiU"/>
          <w:sz w:val="16"/>
          <w:szCs w:val="16"/>
          <w:color w:val="FFFFFF"/>
        </w:rPr>
        <w:t/>
      </w:r>
      <w:r>
        <w:rPr>
          <w:rFonts w:ascii="Arial" w:cs="Arial" w:eastAsia="Arial" w:hAnsi="Arial"/>
          <w:sz w:val="16"/>
          <w:szCs w:val="16"/>
          <w:color w:val="FFFFFF"/>
        </w:rPr>
        <w:t>Ɏǝƺɀƺ</w:t>
      </w:r>
      <w:r>
        <w:rPr>
          <w:rFonts w:ascii="PMingLiU" w:cs="PMingLiU" w:eastAsia="PMingLiU" w:hAnsi="PMingLiU"/>
          <w:sz w:val="16"/>
          <w:szCs w:val="16"/>
          <w:color w:val="FFFFFF"/>
        </w:rPr>
        <w:t/>
      </w:r>
      <w:r>
        <w:rPr>
          <w:rFonts w:ascii="Arial" w:cs="Arial" w:eastAsia="Arial" w:hAnsi="Arial"/>
          <w:sz w:val="16"/>
          <w:szCs w:val="16"/>
          <w:color w:val="FFFFFF"/>
        </w:rPr>
        <w:t>Ɏǝȸƺƺ</w:t>
      </w:r>
      <w:r>
        <w:rPr>
          <w:rFonts w:ascii="PMingLiU" w:cs="PMingLiU" w:eastAsia="PMingLiU" w:hAnsi="PMingLiU"/>
          <w:sz w:val="16"/>
          <w:szCs w:val="16"/>
          <w:color w:val="FFFFFF"/>
        </w:rPr>
        <w:t/>
      </w:r>
      <w:r>
        <w:rPr>
          <w:rFonts w:ascii="Arial" w:cs="Arial" w:eastAsia="Arial" w:hAnsi="Arial"/>
          <w:sz w:val="16"/>
          <w:szCs w:val="16"/>
          <w:color w:val="FFFFFF"/>
        </w:rPr>
        <w:t>ǣȇɮƺɀɎǣǕƏɎǣȒȇƏǼ</w:t>
      </w:r>
      <w:r>
        <w:rPr>
          <w:rFonts w:ascii="PMingLiU" w:cs="PMingLiU" w:eastAsia="PMingLiU" w:hAnsi="PMingLiU"/>
          <w:sz w:val="16"/>
          <w:szCs w:val="16"/>
          <w:color w:val="FFFFFF"/>
        </w:rPr>
        <w:t/>
      </w:r>
      <w:r>
        <w:rPr>
          <w:rFonts w:ascii="Arial" w:cs="Arial" w:eastAsia="Arial" w:hAnsi="Arial"/>
          <w:sz w:val="16"/>
          <w:szCs w:val="16"/>
          <w:color w:val="FFFFFF"/>
        </w:rPr>
        <w:t>ɎǝƺȸƏȵǣƺɀ</w:t>
      </w:r>
      <w:r>
        <w:rPr>
          <w:rFonts w:ascii="PMingLiU" w:cs="PMingLiU" w:eastAsia="PMingLiU" w:hAnsi="PMingLiU"/>
          <w:sz w:val="16"/>
          <w:szCs w:val="16"/>
          <w:color w:val="FFFFFF"/>
        </w:rPr>
        <w:t/>
      </w:r>
      <w:r>
        <w:rPr>
          <w:rFonts w:ascii="Arial" w:cs="Arial" w:eastAsia="Arial" w:hAnsi="Arial"/>
          <w:sz w:val="16"/>
          <w:szCs w:val="16"/>
          <w:color w:val="FFFFFF"/>
        </w:rPr>
        <w:t>ȸƺȵȸƺɀƺȇɎ</w:t>
      </w:r>
      <w:r>
        <w:rPr>
          <w:rFonts w:ascii="PMingLiU" w:cs="PMingLiU" w:eastAsia="PMingLiU" w:hAnsi="PMingLiU"/>
          <w:sz w:val="16"/>
          <w:szCs w:val="16"/>
          <w:color w:val="FFFFFF"/>
        </w:rPr>
        <w:t/>
      </w:r>
      <w:r>
        <w:rPr>
          <w:rFonts w:ascii="Arial" w:cs="Arial" w:eastAsia="Arial" w:hAnsi="Arial"/>
          <w:sz w:val="16"/>
          <w:szCs w:val="16"/>
          <w:color w:val="FFFFFF"/>
        </w:rPr>
        <w:t>Ə</w:t>
      </w:r>
      <w:r>
        <w:rPr>
          <w:rFonts w:ascii="PMingLiU" w:cs="PMingLiU" w:eastAsia="PMingLiU" w:hAnsi="PMingLiU"/>
          <w:sz w:val="16"/>
          <w:szCs w:val="16"/>
          <w:color w:val="FFFFFF"/>
        </w:rPr>
        <w:t/>
      </w:r>
      <w:r>
        <w:rPr>
          <w:rFonts w:ascii="Arial" w:cs="Arial" w:eastAsia="Arial" w:hAnsi="Arial"/>
          <w:sz w:val="16"/>
          <w:szCs w:val="16"/>
          <w:color w:val="FFFFFF"/>
        </w:rPr>
        <w:t>ƳǣɮƺȸɀǣˡƺƳ</w:t>
      </w:r>
      <w:r>
        <w:rPr>
          <w:rFonts w:ascii="PMingLiU" w:cs="PMingLiU" w:eastAsia="PMingLiU" w:hAnsi="PMingLiU"/>
          <w:sz w:val="16"/>
          <w:szCs w:val="16"/>
          <w:color w:val="FFFFFF"/>
        </w:rPr>
        <w:t/>
      </w:r>
      <w:r>
        <w:rPr>
          <w:rFonts w:ascii="Arial" w:cs="Arial" w:eastAsia="Arial" w:hAnsi="Arial"/>
          <w:sz w:val="16"/>
          <w:szCs w:val="16"/>
          <w:color w:val="FFFFFF"/>
        </w:rPr>
        <w:t>ƏȇƳ</w:t>
      </w:r>
      <w:r>
        <w:rPr>
          <w:rFonts w:ascii="PMingLiU" w:cs="PMingLiU" w:eastAsia="PMingLiU" w:hAnsi="PMingLiU"/>
          <w:sz w:val="16"/>
          <w:szCs w:val="16"/>
          <w:color w:val="FFFFFF"/>
        </w:rPr>
        <w:t/>
      </w:r>
      <w:r>
        <w:rPr>
          <w:rFonts w:ascii="Arial" w:cs="Arial" w:eastAsia="Arial" w:hAnsi="Arial"/>
          <w:sz w:val="16"/>
          <w:szCs w:val="16"/>
          <w:color w:val="FFFFFF"/>
        </w:rPr>
        <w:t>ƬȒȅȵǼƺȅƺȇɎƏȸɵ</w:t>
      </w:r>
      <w:r>
        <w:rPr>
          <w:rFonts w:ascii="PMingLiU" w:cs="PMingLiU" w:eastAsia="PMingLiU" w:hAnsi="PMingLiU"/>
          <w:sz w:val="16"/>
          <w:szCs w:val="16"/>
          <w:color w:val="FFFFFF"/>
        </w:rPr>
        <w:t/>
      </w:r>
      <w:r>
        <w:rPr>
          <w:rFonts w:ascii="Arial" w:cs="Arial" w:eastAsia="Arial" w:hAnsi="Arial"/>
          <w:sz w:val="16"/>
          <w:szCs w:val="16"/>
          <w:color w:val="FFFFFF"/>
        </w:rPr>
        <w:t xml:space="preserve">ȵȒȸɎǔȒǼǣȒ </w:t>
      </w:r>
      <w:r>
        <w:rPr>
          <w:rFonts w:ascii="PMingLiU" w:cs="PMingLiU" w:eastAsia="PMingLiU" w:hAnsi="PMingLiU"/>
          <w:sz w:val="16"/>
          <w:szCs w:val="16"/>
          <w:color w:val="FFFFFF"/>
        </w:rPr>
        <w:t/>
      </w:r>
      <w:r>
        <w:rPr>
          <w:rFonts w:ascii="Arial" w:cs="Arial" w:eastAsia="Arial" w:hAnsi="Arial"/>
          <w:sz w:val="16"/>
          <w:szCs w:val="16"/>
          <w:color w:val="FFFFFF"/>
        </w:rPr>
        <w:t xml:space="preserve"> </w:t>
      </w:r>
      <w:r>
        <w:rPr>
          <w:rFonts w:ascii="Arial" w:cs="Arial" w:eastAsia="Arial" w:hAnsi="Arial"/>
          <w:sz w:val="16"/>
          <w:szCs w:val="16"/>
          <w:color w:val="FFFFFF"/>
        </w:rPr>
        <w:t>grounded in science, spanning multiple mechanisms, indications and stages of evidence, and focused on improving long-term patient outcomes.</w:t>
      </w:r>
    </w:p>
    <w:p>
      <w:pPr>
        <w:spacing w:after="0" w:line="274" w:lineRule="exact"/>
        <w:rPr>
          <w:sz w:val="20"/>
          <w:szCs w:val="20"/>
          <w:color w:val="auto"/>
        </w:rPr>
      </w:pPr>
    </w:p>
    <w:p>
      <w:pPr>
        <w:jc w:val="both"/>
        <w:spacing w:after="0" w:line="257" w:lineRule="exact"/>
        <w:rPr>
          <w:sz w:val="20"/>
          <w:szCs w:val="20"/>
          <w:color w:val="auto"/>
        </w:rPr>
      </w:pPr>
      <w:r>
        <w:rPr>
          <w:rFonts w:ascii="Arial" w:cs="Arial" w:eastAsia="Arial" w:hAnsi="Arial"/>
          <w:sz w:val="16"/>
          <w:szCs w:val="16"/>
          <w:color w:val="FFFFFF"/>
        </w:rPr>
        <w:t xml:space="preserve">Beyond our late-stage programs, we continue to invest in an emerging pipeline with a goal to build an </w:t>
      </w:r>
      <w:r>
        <w:rPr>
          <w:rFonts w:ascii="Arial" w:cs="Arial" w:eastAsia="Arial" w:hAnsi="Arial"/>
          <w:sz w:val="16"/>
          <w:szCs w:val="16"/>
          <w:color w:val="FFFFFF"/>
        </w:rPr>
        <w:t>ƺɮƺȇ</w:t>
      </w:r>
      <w:r>
        <w:rPr>
          <w:rFonts w:ascii="PMingLiU" w:cs="PMingLiU" w:eastAsia="PMingLiU" w:hAnsi="PMingLiU"/>
          <w:sz w:val="16"/>
          <w:szCs w:val="16"/>
          <w:color w:val="FFFFFF"/>
        </w:rPr>
        <w:t/>
      </w:r>
      <w:r>
        <w:rPr>
          <w:rFonts w:ascii="Arial" w:cs="Arial" w:eastAsia="Arial" w:hAnsi="Arial"/>
          <w:sz w:val="16"/>
          <w:szCs w:val="16"/>
          <w:color w:val="FFFFFF"/>
        </w:rPr>
        <w:t>Ƴƺƺȵƺȸً</w:t>
      </w:r>
      <w:r>
        <w:rPr>
          <w:rFonts w:ascii="PMingLiU" w:cs="PMingLiU" w:eastAsia="PMingLiU" w:hAnsi="PMingLiU"/>
          <w:sz w:val="16"/>
          <w:szCs w:val="16"/>
          <w:color w:val="FFFFFF"/>
        </w:rPr>
        <w:t/>
      </w:r>
      <w:r>
        <w:rPr>
          <w:rFonts w:ascii="Arial" w:cs="Arial" w:eastAsia="Arial" w:hAnsi="Arial"/>
          <w:sz w:val="16"/>
          <w:szCs w:val="16"/>
          <w:color w:val="FFFFFF"/>
        </w:rPr>
        <w:t>ȅȒȸƺ</w:t>
      </w:r>
      <w:r>
        <w:rPr>
          <w:rFonts w:ascii="PMingLiU" w:cs="PMingLiU" w:eastAsia="PMingLiU" w:hAnsi="PMingLiU"/>
          <w:sz w:val="16"/>
          <w:szCs w:val="16"/>
          <w:color w:val="FFFFFF"/>
        </w:rPr>
        <w:t/>
      </w:r>
      <w:r>
        <w:rPr>
          <w:rFonts w:ascii="Arial" w:cs="Arial" w:eastAsia="Arial" w:hAnsi="Arial"/>
          <w:sz w:val="16"/>
          <w:szCs w:val="16"/>
          <w:color w:val="FFFFFF"/>
        </w:rPr>
        <w:t>ƳǣɮƺȸɀǣˡƺƳ</w:t>
      </w:r>
      <w:r>
        <w:rPr>
          <w:rFonts w:ascii="PMingLiU" w:cs="PMingLiU" w:eastAsia="PMingLiU" w:hAnsi="PMingLiU"/>
          <w:sz w:val="16"/>
          <w:szCs w:val="16"/>
          <w:color w:val="FFFFFF"/>
        </w:rPr>
        <w:t/>
      </w:r>
      <w:r>
        <w:rPr>
          <w:rFonts w:ascii="Arial" w:cs="Arial" w:eastAsia="Arial" w:hAnsi="Arial"/>
          <w:sz w:val="16"/>
          <w:szCs w:val="16"/>
          <w:color w:val="FFFFFF"/>
        </w:rPr>
        <w:t>ȵȒȸɎǔȒǼǣȒ</w:t>
      </w:r>
      <w:r>
        <w:rPr>
          <w:rFonts w:ascii="PMingLiU" w:cs="PMingLiU" w:eastAsia="PMingLiU" w:hAnsi="PMingLiU"/>
          <w:sz w:val="16"/>
          <w:szCs w:val="16"/>
          <w:color w:val="FFFFFF"/>
        </w:rPr>
        <w:t/>
      </w:r>
      <w:r>
        <w:rPr>
          <w:rFonts w:ascii="Arial" w:cs="Arial" w:eastAsia="Arial" w:hAnsi="Arial"/>
          <w:sz w:val="16"/>
          <w:szCs w:val="16"/>
          <w:color w:val="FFFFFF"/>
        </w:rPr>
        <w:t>Ȓɮƺȸ</w:t>
      </w:r>
      <w:r>
        <w:rPr>
          <w:rFonts w:ascii="PMingLiU" w:cs="PMingLiU" w:eastAsia="PMingLiU" w:hAnsi="PMingLiU"/>
          <w:sz w:val="16"/>
          <w:szCs w:val="16"/>
          <w:color w:val="FFFFFF"/>
        </w:rPr>
        <w:t/>
      </w:r>
      <w:r>
        <w:rPr>
          <w:rFonts w:ascii="Arial" w:cs="Arial" w:eastAsia="Arial" w:hAnsi="Arial"/>
          <w:sz w:val="16"/>
          <w:szCs w:val="16"/>
          <w:color w:val="FFFFFF"/>
        </w:rPr>
        <w:t>Ɏǣȅƺِ</w:t>
      </w:r>
      <w:r>
        <w:rPr>
          <w:rFonts w:ascii="PMingLiU" w:cs="PMingLiU" w:eastAsia="PMingLiU" w:hAnsi="PMingLiU"/>
          <w:sz w:val="16"/>
          <w:szCs w:val="16"/>
          <w:color w:val="FFFFFF"/>
        </w:rPr>
        <w:t/>
      </w:r>
      <w:r>
        <w:rPr>
          <w:rFonts w:ascii="Arial" w:cs="Arial" w:eastAsia="Arial" w:hAnsi="Arial"/>
          <w:sz w:val="16"/>
          <w:szCs w:val="16"/>
          <w:color w:val="FFFFFF"/>
        </w:rPr>
        <w:t>Áǝǣɀ</w:t>
      </w:r>
      <w:r>
        <w:rPr>
          <w:rFonts w:ascii="PMingLiU" w:cs="PMingLiU" w:eastAsia="PMingLiU" w:hAnsi="PMingLiU"/>
          <w:sz w:val="16"/>
          <w:szCs w:val="16"/>
          <w:color w:val="FFFFFF"/>
        </w:rPr>
        <w:t/>
      </w:r>
      <w:r>
        <w:rPr>
          <w:rFonts w:ascii="Arial" w:cs="Arial" w:eastAsia="Arial" w:hAnsi="Arial"/>
          <w:sz w:val="16"/>
          <w:szCs w:val="16"/>
          <w:color w:val="FFFFFF"/>
        </w:rPr>
        <w:t>ǣȇƬǼɖƳƺɀ</w:t>
      </w:r>
      <w:r>
        <w:rPr>
          <w:rFonts w:ascii="PMingLiU" w:cs="PMingLiU" w:eastAsia="PMingLiU" w:hAnsi="PMingLiU"/>
          <w:sz w:val="16"/>
          <w:szCs w:val="16"/>
          <w:color w:val="FFFFFF"/>
        </w:rPr>
        <w:t/>
      </w:r>
      <w:r>
        <w:rPr>
          <w:rFonts w:ascii="Arial" w:cs="Arial" w:eastAsia="Arial" w:hAnsi="Arial"/>
          <w:sz w:val="16"/>
          <w:szCs w:val="16"/>
          <w:color w:val="FFFFFF"/>
        </w:rPr>
        <w:t>ƳɖƏǼ</w:t>
      </w:r>
      <w:r>
        <w:rPr>
          <w:rFonts w:ascii="PMingLiU" w:cs="PMingLiU" w:eastAsia="PMingLiU" w:hAnsi="PMingLiU"/>
          <w:sz w:val="16"/>
          <w:szCs w:val="16"/>
          <w:color w:val="FFFFFF"/>
        </w:rPr>
        <w:t/>
      </w:r>
      <w:r>
        <w:rPr>
          <w:rFonts w:ascii="Arial" w:cs="Arial" w:eastAsia="Arial" w:hAnsi="Arial"/>
          <w:sz w:val="16"/>
          <w:szCs w:val="16"/>
          <w:color w:val="FFFFFF"/>
        </w:rPr>
        <w:t>ƬɵɎȒǸǣȇƺٮɎƏȸǕƺɎǣȇǕ</w:t>
      </w:r>
      <w:r>
        <w:rPr>
          <w:rFonts w:ascii="PMingLiU" w:cs="PMingLiU" w:eastAsia="PMingLiU" w:hAnsi="PMingLiU"/>
          <w:sz w:val="16"/>
          <w:szCs w:val="16"/>
          <w:color w:val="FFFFFF"/>
        </w:rPr>
        <w:t/>
      </w:r>
      <w:r>
        <w:rPr>
          <w:rFonts w:ascii="Arial" w:cs="Arial" w:eastAsia="Arial" w:hAnsi="Arial"/>
          <w:sz w:val="16"/>
          <w:szCs w:val="16"/>
          <w:color w:val="FFFFFF"/>
        </w:rPr>
        <w:t>ȵȸȒǕȸƏȅɀ</w:t>
      </w:r>
      <w:r>
        <w:rPr>
          <w:rFonts w:ascii="PMingLiU" w:cs="PMingLiU" w:eastAsia="PMingLiU" w:hAnsi="PMingLiU"/>
          <w:sz w:val="16"/>
          <w:szCs w:val="16"/>
          <w:color w:val="FFFFFF"/>
        </w:rPr>
        <w:t/>
      </w:r>
      <w:r>
        <w:rPr>
          <w:rFonts w:ascii="Arial" w:cs="Arial" w:eastAsia="Arial" w:hAnsi="Arial"/>
          <w:sz w:val="16"/>
          <w:szCs w:val="16"/>
          <w:color w:val="FFFFFF"/>
        </w:rPr>
        <w:t>ǣȇ</w:t>
      </w:r>
      <w:r>
        <w:rPr>
          <w:rFonts w:ascii="PMingLiU" w:cs="PMingLiU" w:eastAsia="PMingLiU" w:hAnsi="PMingLiU"/>
          <w:sz w:val="16"/>
          <w:szCs w:val="16"/>
          <w:color w:val="FFFFFF"/>
        </w:rPr>
        <w:t/>
      </w:r>
      <w:r>
        <w:rPr>
          <w:rFonts w:ascii="Arial" w:cs="Arial" w:eastAsia="Arial" w:hAnsi="Arial"/>
          <w:sz w:val="16"/>
          <w:szCs w:val="16"/>
          <w:color w:val="FFFFFF"/>
        </w:rPr>
        <w:t xml:space="preserve"> ȸƺɎǣȇƏǼ</w:t>
      </w:r>
      <w:r>
        <w:rPr>
          <w:rFonts w:ascii="PMingLiU" w:cs="PMingLiU" w:eastAsia="PMingLiU" w:hAnsi="PMingLiU"/>
          <w:sz w:val="16"/>
          <w:szCs w:val="16"/>
          <w:color w:val="FFFFFF"/>
        </w:rPr>
        <w:t/>
      </w:r>
      <w:r>
        <w:rPr>
          <w:rFonts w:ascii="Arial" w:cs="Arial" w:eastAsia="Arial" w:hAnsi="Arial"/>
          <w:sz w:val="16"/>
          <w:szCs w:val="16"/>
          <w:color w:val="FFFFFF"/>
        </w:rPr>
        <w:t>ǣȇˢƏȅȅƏɎȒȸɵ</w:t>
      </w:r>
      <w:r>
        <w:rPr>
          <w:rFonts w:ascii="PMingLiU" w:cs="PMingLiU" w:eastAsia="PMingLiU" w:hAnsi="PMingLiU"/>
          <w:sz w:val="16"/>
          <w:szCs w:val="16"/>
          <w:color w:val="FFFFFF"/>
        </w:rPr>
        <w:t/>
      </w:r>
      <w:r>
        <w:rPr>
          <w:rFonts w:ascii="Arial" w:cs="Arial" w:eastAsia="Arial" w:hAnsi="Arial"/>
          <w:sz w:val="16"/>
          <w:szCs w:val="16"/>
          <w:color w:val="FFFFFF"/>
        </w:rPr>
        <w:t>ƳǣɀƺƏɀƺɀ</w:t>
      </w:r>
      <w:r>
        <w:rPr>
          <w:rFonts w:ascii="PMingLiU" w:cs="PMingLiU" w:eastAsia="PMingLiU" w:hAnsi="PMingLiU"/>
          <w:sz w:val="16"/>
          <w:szCs w:val="16"/>
          <w:color w:val="FFFFFF"/>
        </w:rPr>
        <w:t/>
      </w:r>
      <w:r>
        <w:rPr>
          <w:rFonts w:ascii="Arial" w:cs="Arial" w:eastAsia="Arial" w:hAnsi="Arial"/>
          <w:sz w:val="16"/>
          <w:szCs w:val="16"/>
          <w:color w:val="FFFFFF"/>
        </w:rPr>
        <w:t>Əɀ</w:t>
      </w:r>
      <w:r>
        <w:rPr>
          <w:rFonts w:ascii="PMingLiU" w:cs="PMingLiU" w:eastAsia="PMingLiU" w:hAnsi="PMingLiU"/>
          <w:sz w:val="16"/>
          <w:szCs w:val="16"/>
          <w:color w:val="FFFFFF"/>
        </w:rPr>
        <w:t/>
      </w:r>
      <w:r>
        <w:rPr>
          <w:rFonts w:ascii="Arial" w:cs="Arial" w:eastAsia="Arial" w:hAnsi="Arial"/>
          <w:sz w:val="16"/>
          <w:szCs w:val="16"/>
          <w:color w:val="FFFFFF"/>
        </w:rPr>
        <w:t>ɯƺǼǼ</w:t>
      </w:r>
      <w:r>
        <w:rPr>
          <w:rFonts w:ascii="PMingLiU" w:cs="PMingLiU" w:eastAsia="PMingLiU" w:hAnsi="PMingLiU"/>
          <w:sz w:val="16"/>
          <w:szCs w:val="16"/>
          <w:color w:val="FFFFFF"/>
        </w:rPr>
        <w:t/>
      </w:r>
      <w:r>
        <w:rPr>
          <w:rFonts w:ascii="Arial" w:cs="Arial" w:eastAsia="Arial" w:hAnsi="Arial"/>
          <w:sz w:val="16"/>
          <w:szCs w:val="16"/>
          <w:color w:val="FFFFFF"/>
        </w:rPr>
        <w:t>Əɀ</w:t>
      </w:r>
      <w:r>
        <w:rPr>
          <w:rFonts w:ascii="PMingLiU" w:cs="PMingLiU" w:eastAsia="PMingLiU" w:hAnsi="PMingLiU"/>
          <w:sz w:val="16"/>
          <w:szCs w:val="16"/>
          <w:color w:val="FFFFFF"/>
        </w:rPr>
        <w:t/>
      </w:r>
      <w:r>
        <w:rPr>
          <w:rFonts w:ascii="Arial" w:cs="Arial" w:eastAsia="Arial" w:hAnsi="Arial"/>
          <w:sz w:val="16"/>
          <w:szCs w:val="16"/>
          <w:color w:val="FFFFFF"/>
        </w:rPr>
        <w:t>Ȓɖȸ</w:t>
      </w:r>
      <w:r>
        <w:rPr>
          <w:rFonts w:ascii="PMingLiU" w:cs="PMingLiU" w:eastAsia="PMingLiU" w:hAnsi="PMingLiU"/>
          <w:sz w:val="16"/>
          <w:szCs w:val="16"/>
          <w:color w:val="FFFFFF"/>
        </w:rPr>
        <w:t/>
      </w:r>
      <w:r>
        <w:rPr>
          <w:rFonts w:ascii="Arial" w:cs="Arial" w:eastAsia="Arial" w:hAnsi="Arial"/>
          <w:sz w:val="16"/>
          <w:szCs w:val="16"/>
          <w:color w:val="FFFFFF"/>
        </w:rPr>
        <w:t>ȇƺɴɎٮǕƺȇƺȸƏɎǣȒȇ</w:t>
      </w:r>
      <w:r>
        <w:rPr>
          <w:rFonts w:ascii="PMingLiU" w:cs="PMingLiU" w:eastAsia="PMingLiU" w:hAnsi="PMingLiU"/>
          <w:sz w:val="16"/>
          <w:szCs w:val="16"/>
          <w:color w:val="FFFFFF"/>
        </w:rPr>
        <w:t/>
      </w:r>
      <w:r>
        <w:rPr>
          <w:rFonts w:ascii="Arial" w:cs="Arial" w:eastAsia="Arial" w:hAnsi="Arial"/>
          <w:sz w:val="16"/>
          <w:szCs w:val="16"/>
          <w:color w:val="FFFFFF"/>
        </w:rPr>
        <w:t xml:space="preserve"> !(</w:t>
      </w:r>
      <w:r>
        <w:rPr>
          <w:rFonts w:ascii="PMingLiU" w:cs="PMingLiU" w:eastAsia="PMingLiU" w:hAnsi="PMingLiU"/>
          <w:sz w:val="16"/>
          <w:szCs w:val="16"/>
          <w:color w:val="FFFFFF"/>
        </w:rPr>
        <w:t/>
      </w:r>
      <w:r>
        <w:rPr>
          <w:rFonts w:ascii="Arial" w:cs="Arial" w:eastAsia="Arial" w:hAnsi="Arial"/>
          <w:sz w:val="16"/>
          <w:szCs w:val="16"/>
          <w:color w:val="FFFFFF"/>
        </w:rPr>
        <w:t>ȵǼƏɎǔȒȸȅً</w:t>
      </w:r>
      <w:r>
        <w:rPr>
          <w:rFonts w:ascii="PMingLiU" w:cs="PMingLiU" w:eastAsia="PMingLiU" w:hAnsi="PMingLiU"/>
          <w:sz w:val="16"/>
          <w:szCs w:val="16"/>
          <w:color w:val="FFFFFF"/>
        </w:rPr>
        <w:t/>
      </w:r>
      <w:r>
        <w:rPr>
          <w:rFonts w:ascii="Arial" w:cs="Arial" w:eastAsia="Arial" w:hAnsi="Arial"/>
          <w:sz w:val="16"/>
          <w:szCs w:val="16"/>
          <w:color w:val="FFFFFF"/>
        </w:rPr>
        <w:t>ɯǝǣƬǝ</w:t>
      </w:r>
      <w:r>
        <w:rPr>
          <w:rFonts w:ascii="PMingLiU" w:cs="PMingLiU" w:eastAsia="PMingLiU" w:hAnsi="PMingLiU"/>
          <w:sz w:val="16"/>
          <w:szCs w:val="16"/>
          <w:color w:val="FFFFFF"/>
        </w:rPr>
        <w:t/>
      </w:r>
      <w:r>
        <w:rPr>
          <w:rFonts w:ascii="Arial" w:cs="Arial" w:eastAsia="Arial" w:hAnsi="Arial"/>
          <w:sz w:val="16"/>
          <w:szCs w:val="16"/>
          <w:color w:val="FFFFFF"/>
        </w:rPr>
        <w:t>ƺɴɎƺȇƳɀ</w:t>
      </w:r>
      <w:r>
        <w:rPr>
          <w:rFonts w:ascii="PMingLiU" w:cs="PMingLiU" w:eastAsia="PMingLiU" w:hAnsi="PMingLiU"/>
          <w:sz w:val="16"/>
          <w:szCs w:val="16"/>
          <w:color w:val="FFFFFF"/>
        </w:rPr>
        <w:t/>
      </w:r>
      <w:r>
        <w:rPr>
          <w:rFonts w:ascii="Arial" w:cs="Arial" w:eastAsia="Arial" w:hAnsi="Arial"/>
          <w:sz w:val="16"/>
          <w:szCs w:val="16"/>
          <w:color w:val="FFFFFF"/>
        </w:rPr>
        <w:t>Ȓɖȸ</w:t>
      </w:r>
      <w:r>
        <w:rPr>
          <w:rFonts w:ascii="PMingLiU" w:cs="PMingLiU" w:eastAsia="PMingLiU" w:hAnsi="PMingLiU"/>
          <w:sz w:val="16"/>
          <w:szCs w:val="16"/>
          <w:color w:val="FFFFFF"/>
        </w:rPr>
        <w:t/>
      </w:r>
      <w:r>
        <w:rPr>
          <w:rFonts w:ascii="Arial" w:cs="Arial" w:eastAsia="Arial" w:hAnsi="Arial"/>
          <w:sz w:val="16"/>
          <w:szCs w:val="16"/>
          <w:color w:val="FFFFFF"/>
        </w:rPr>
        <w:t xml:space="preserve"> !</w:t>
      </w:r>
      <w:r>
        <w:rPr>
          <w:rFonts w:ascii="PMingLiU" w:cs="PMingLiU" w:eastAsia="PMingLiU" w:hAnsi="PMingLiU"/>
          <w:sz w:val="16"/>
          <w:szCs w:val="16"/>
          <w:color w:val="FFFFFF"/>
        </w:rPr>
        <w:t/>
      </w:r>
      <w:r>
        <w:rPr>
          <w:rFonts w:ascii="Arial" w:cs="Arial" w:eastAsia="Arial" w:hAnsi="Arial"/>
          <w:sz w:val="16"/>
          <w:szCs w:val="16"/>
          <w:color w:val="FFFFFF"/>
        </w:rPr>
        <w:t xml:space="preserve"> </w:t>
      </w:r>
      <w:r>
        <w:rPr>
          <w:rFonts w:ascii="Arial" w:cs="Arial" w:eastAsia="Arial" w:hAnsi="Arial"/>
          <w:sz w:val="16"/>
          <w:szCs w:val="16"/>
          <w:color w:val="FFFFFF"/>
        </w:rPr>
        <w:t>technology to incorporate sustained release multi-mechanism therapeutic modalities with a 10x or even 100x (i.e. meaningful) improvement in drug-antibody-ratio versus today’s antibody drug conjugate</w:t>
      </w:r>
    </w:p>
    <w:p>
      <w:pPr>
        <w:sectPr>
          <w:pgSz w:w="12240" w:h="15840" w:orient="portrait"/>
          <w:cols w:equalWidth="0" w:num="1">
            <w:col w:w="9780"/>
          </w:cols>
          <w:pgMar w:left="1280" w:top="1440" w:right="1180" w:bottom="0" w:gutter="0" w:footer="0" w:header="0"/>
        </w:sectPr>
      </w:pP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KODIAK SCIENCES INC.</w:t>
      </w:r>
    </w:p>
    <w:p>
      <w:pPr>
        <w:sectPr>
          <w:pgSz w:w="12240" w:h="15840" w:orient="portrait"/>
          <w:cols w:equalWidth="0" w:num="1">
            <w:col w:w="9780"/>
          </w:cols>
          <w:pgMar w:left="1280" w:top="1440" w:right="1180" w:bottom="0" w:gutter="0" w:footer="0" w:header="0"/>
          <w:type w:val="continuous"/>
        </w:sectPr>
      </w:pPr>
    </w:p>
    <w:bookmarkStart w:id="3" w:name="page4"/>
    <w:bookmarkEnd w:id="3"/>
    <w:p>
      <w:pPr>
        <w:ind w:right="60"/>
        <w:spacing w:after="0" w:line="253" w:lineRule="exact"/>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 xml:space="preserve">technologies. I am personally very excited about our duet program in glaucoma which contains our </w:t>
      </w:r>
      <w:r>
        <w:rPr>
          <w:rFonts w:ascii="Arial" w:cs="Arial" w:eastAsia="Arial" w:hAnsi="Arial"/>
          <w:sz w:val="19"/>
          <w:szCs w:val="19"/>
          <w:color w:val="FFFFFF"/>
        </w:rPr>
        <w:t>ȇƺɯ</w:t>
      </w:r>
      <w:r>
        <w:rPr>
          <w:rFonts w:ascii="PMingLiU" w:cs="PMingLiU" w:eastAsia="PMingLiU" w:hAnsi="PMingLiU"/>
          <w:sz w:val="19"/>
          <w:szCs w:val="19"/>
          <w:color w:val="FFFFFF"/>
        </w:rPr>
        <w:t/>
      </w:r>
      <w:r>
        <w:rPr>
          <w:rFonts w:ascii="Arial" w:cs="Arial" w:eastAsia="Arial" w:hAnsi="Arial"/>
          <w:sz w:val="19"/>
          <w:szCs w:val="19"/>
          <w:color w:val="FFFFFF"/>
        </w:rPr>
        <w:t>zn«¨ב</w:t>
      </w:r>
      <w:r>
        <w:rPr>
          <w:rFonts w:ascii="PMingLiU" w:cs="PMingLiU" w:eastAsia="PMingLiU" w:hAnsi="PMingLiU"/>
          <w:sz w:val="19"/>
          <w:szCs w:val="19"/>
          <w:color w:val="FFFFFF"/>
        </w:rPr>
        <w:t/>
      </w:r>
      <w:r>
        <w:rPr>
          <w:rFonts w:ascii="Arial" w:cs="Arial" w:eastAsia="Arial" w:hAnsi="Arial"/>
          <w:sz w:val="19"/>
          <w:szCs w:val="19"/>
          <w:color w:val="FFFFFF"/>
        </w:rPr>
        <w:t>ǣȇˢƏȅȅƏɀȒȅƺ</w:t>
      </w:r>
      <w:r>
        <w:rPr>
          <w:rFonts w:ascii="PMingLiU" w:cs="PMingLiU" w:eastAsia="PMingLiU" w:hAnsi="PMingLiU"/>
          <w:sz w:val="19"/>
          <w:szCs w:val="19"/>
          <w:color w:val="FFFFFF"/>
        </w:rPr>
        <w:t/>
      </w:r>
      <w:r>
        <w:rPr>
          <w:rFonts w:ascii="Arial" w:cs="Arial" w:eastAsia="Arial" w:hAnsi="Arial"/>
          <w:sz w:val="19"/>
          <w:szCs w:val="19"/>
          <w:color w:val="FFFFFF"/>
        </w:rPr>
        <w:t>ǣȇǝǣƫǣɎȒȸ</w:t>
      </w:r>
      <w:r>
        <w:rPr>
          <w:rFonts w:ascii="PMingLiU" w:cs="PMingLiU" w:eastAsia="PMingLiU" w:hAnsi="PMingLiU"/>
          <w:sz w:val="19"/>
          <w:szCs w:val="19"/>
          <w:color w:val="FFFFFF"/>
        </w:rPr>
        <w:t/>
      </w:r>
      <w:r>
        <w:rPr>
          <w:rFonts w:ascii="Arial" w:cs="Arial" w:eastAsia="Arial" w:hAnsi="Arial"/>
          <w:sz w:val="19"/>
          <w:szCs w:val="19"/>
          <w:color w:val="FFFFFF"/>
        </w:rPr>
        <w:t>Əɀ</w:t>
      </w:r>
      <w:r>
        <w:rPr>
          <w:rFonts w:ascii="PMingLiU" w:cs="PMingLiU" w:eastAsia="PMingLiU" w:hAnsi="PMingLiU"/>
          <w:sz w:val="19"/>
          <w:szCs w:val="19"/>
          <w:color w:val="FFFFFF"/>
        </w:rPr>
        <w:t/>
      </w:r>
      <w:r>
        <w:rPr>
          <w:rFonts w:ascii="Arial" w:cs="Arial" w:eastAsia="Arial" w:hAnsi="Arial"/>
          <w:sz w:val="19"/>
          <w:szCs w:val="19"/>
          <w:color w:val="FFFFFF"/>
        </w:rPr>
        <w:t>Ȓȇƺ</w:t>
      </w:r>
      <w:r>
        <w:rPr>
          <w:rFonts w:ascii="PMingLiU" w:cs="PMingLiU" w:eastAsia="PMingLiU" w:hAnsi="PMingLiU"/>
          <w:sz w:val="19"/>
          <w:szCs w:val="19"/>
          <w:color w:val="FFFFFF"/>
        </w:rPr>
        <w:t/>
      </w:r>
      <w:r>
        <w:rPr>
          <w:rFonts w:ascii="Arial" w:cs="Arial" w:eastAsia="Arial" w:hAnsi="Arial"/>
          <w:sz w:val="19"/>
          <w:szCs w:val="19"/>
          <w:color w:val="FFFFFF"/>
        </w:rPr>
        <w:t>Ȓǔ</w:t>
      </w:r>
      <w:r>
        <w:rPr>
          <w:rFonts w:ascii="PMingLiU" w:cs="PMingLiU" w:eastAsia="PMingLiU" w:hAnsi="PMingLiU"/>
          <w:sz w:val="19"/>
          <w:szCs w:val="19"/>
          <w:color w:val="FFFFFF"/>
        </w:rPr>
        <w:t/>
      </w:r>
      <w:r>
        <w:rPr>
          <w:rFonts w:ascii="Arial" w:cs="Arial" w:eastAsia="Arial" w:hAnsi="Arial"/>
          <w:sz w:val="19"/>
          <w:szCs w:val="19"/>
          <w:color w:val="FFFFFF"/>
        </w:rPr>
        <w:t>ǣɎɀ</w:t>
      </w:r>
      <w:r>
        <w:rPr>
          <w:rFonts w:ascii="PMingLiU" w:cs="PMingLiU" w:eastAsia="PMingLiU" w:hAnsi="PMingLiU"/>
          <w:sz w:val="19"/>
          <w:szCs w:val="19"/>
          <w:color w:val="FFFFFF"/>
        </w:rPr>
        <w:t/>
      </w:r>
      <w:r>
        <w:rPr>
          <w:rFonts w:ascii="Arial" w:cs="Arial" w:eastAsia="Arial" w:hAnsi="Arial"/>
          <w:sz w:val="19"/>
          <w:szCs w:val="19"/>
          <w:color w:val="FFFFFF"/>
        </w:rPr>
        <w:t>ɎɯȒ</w:t>
      </w:r>
      <w:r>
        <w:rPr>
          <w:rFonts w:ascii="PMingLiU" w:cs="PMingLiU" w:eastAsia="PMingLiU" w:hAnsi="PMingLiU"/>
          <w:sz w:val="19"/>
          <w:szCs w:val="19"/>
          <w:color w:val="FFFFFF"/>
        </w:rPr>
        <w:t/>
      </w:r>
      <w:r>
        <w:rPr>
          <w:rFonts w:ascii="Arial" w:cs="Arial" w:eastAsia="Arial" w:hAnsi="Arial"/>
          <w:sz w:val="19"/>
          <w:szCs w:val="19"/>
          <w:color w:val="FFFFFF"/>
        </w:rPr>
        <w:t>ȵȸǣȇƬǣȵƏǼ</w:t>
      </w:r>
      <w:r>
        <w:rPr>
          <w:rFonts w:ascii="PMingLiU" w:cs="PMingLiU" w:eastAsia="PMingLiU" w:hAnsi="PMingLiU"/>
          <w:sz w:val="19"/>
          <w:szCs w:val="19"/>
          <w:color w:val="FFFFFF"/>
        </w:rPr>
        <w:t/>
      </w:r>
      <w:r>
        <w:rPr>
          <w:rFonts w:ascii="Arial" w:cs="Arial" w:eastAsia="Arial" w:hAnsi="Arial"/>
          <w:sz w:val="19"/>
          <w:szCs w:val="19"/>
          <w:color w:val="FFFFFF"/>
        </w:rPr>
        <w:t>ȅƺƬǝƏȇǣɀȅɀ</w:t>
      </w:r>
      <w:r>
        <w:rPr>
          <w:rFonts w:ascii="PMingLiU" w:cs="PMingLiU" w:eastAsia="PMingLiU" w:hAnsi="PMingLiU"/>
          <w:sz w:val="19"/>
          <w:szCs w:val="19"/>
          <w:color w:val="FFFFFF"/>
        </w:rPr>
        <w:t/>
      </w:r>
      <w:r>
        <w:rPr>
          <w:rFonts w:ascii="Arial" w:cs="Arial" w:eastAsia="Arial" w:hAnsi="Arial"/>
          <w:sz w:val="19"/>
          <w:szCs w:val="19"/>
          <w:color w:val="FFFFFF"/>
        </w:rPr>
        <w:t>Ȓǔ</w:t>
      </w:r>
      <w:r>
        <w:rPr>
          <w:rFonts w:ascii="PMingLiU" w:cs="PMingLiU" w:eastAsia="PMingLiU" w:hAnsi="PMingLiU"/>
          <w:sz w:val="19"/>
          <w:szCs w:val="19"/>
          <w:color w:val="FFFFFF"/>
        </w:rPr>
        <w:t/>
      </w:r>
      <w:r>
        <w:rPr>
          <w:rFonts w:ascii="Arial" w:cs="Arial" w:eastAsia="Arial" w:hAnsi="Arial"/>
          <w:sz w:val="19"/>
          <w:szCs w:val="19"/>
          <w:color w:val="FFFFFF"/>
        </w:rPr>
        <w:t>ƏƬɎǣȒȇِ</w:t>
      </w:r>
    </w:p>
    <w:p>
      <w:pPr>
        <w:spacing w:after="0" w:line="275" w:lineRule="exact"/>
        <w:rPr>
          <w:sz w:val="20"/>
          <w:szCs w:val="20"/>
          <w:color w:val="auto"/>
        </w:rPr>
      </w:pPr>
    </w:p>
    <w:p>
      <w:pPr>
        <w:jc w:val="both"/>
        <w:spacing w:after="0" w:line="259" w:lineRule="exact"/>
        <w:rPr>
          <w:sz w:val="20"/>
          <w:szCs w:val="20"/>
          <w:color w:val="auto"/>
        </w:rPr>
      </w:pPr>
      <w:r>
        <w:rPr>
          <w:rFonts w:ascii="Arial" w:cs="Arial" w:eastAsia="Arial" w:hAnsi="Arial"/>
          <w:sz w:val="15"/>
          <w:szCs w:val="15"/>
          <w:color w:val="FFFFFF"/>
        </w:rPr>
        <w:t>áƺ</w:t>
      </w:r>
      <w:r>
        <w:rPr>
          <w:rFonts w:ascii="PMingLiU" w:cs="PMingLiU" w:eastAsia="PMingLiU" w:hAnsi="PMingLiU"/>
          <w:sz w:val="15"/>
          <w:szCs w:val="15"/>
          <w:color w:val="FFFFFF"/>
        </w:rPr>
        <w:t/>
      </w:r>
      <w:r>
        <w:rPr>
          <w:rFonts w:ascii="Arial" w:cs="Arial" w:eastAsia="Arial" w:hAnsi="Arial"/>
          <w:sz w:val="15"/>
          <w:szCs w:val="15"/>
          <w:color w:val="FFFFFF"/>
        </w:rPr>
        <w:t>Əȸƺ</w:t>
      </w:r>
      <w:r>
        <w:rPr>
          <w:rFonts w:ascii="PMingLiU" w:cs="PMingLiU" w:eastAsia="PMingLiU" w:hAnsi="PMingLiU"/>
          <w:sz w:val="15"/>
          <w:szCs w:val="15"/>
          <w:color w:val="FFFFFF"/>
        </w:rPr>
        <w:t/>
      </w:r>
      <w:r>
        <w:rPr>
          <w:rFonts w:ascii="Arial" w:cs="Arial" w:eastAsia="Arial" w:hAnsi="Arial"/>
          <w:sz w:val="15"/>
          <w:szCs w:val="15"/>
          <w:color w:val="FFFFFF"/>
        </w:rPr>
        <w:t>ƏǼɀȒ</w:t>
      </w:r>
      <w:r>
        <w:rPr>
          <w:rFonts w:ascii="PMingLiU" w:cs="PMingLiU" w:eastAsia="PMingLiU" w:hAnsi="PMingLiU"/>
          <w:sz w:val="15"/>
          <w:szCs w:val="15"/>
          <w:color w:val="FFFFFF"/>
        </w:rPr>
        <w:t/>
      </w:r>
      <w:r>
        <w:rPr>
          <w:rFonts w:ascii="Arial" w:cs="Arial" w:eastAsia="Arial" w:hAnsi="Arial"/>
          <w:sz w:val="15"/>
          <w:szCs w:val="15"/>
          <w:color w:val="FFFFFF"/>
        </w:rPr>
        <w:t>ȅƏǸǣȇǕ</w:t>
      </w:r>
      <w:r>
        <w:rPr>
          <w:rFonts w:ascii="PMingLiU" w:cs="PMingLiU" w:eastAsia="PMingLiU" w:hAnsi="PMingLiU"/>
          <w:sz w:val="15"/>
          <w:szCs w:val="15"/>
          <w:color w:val="FFFFFF"/>
        </w:rPr>
        <w:t/>
      </w:r>
      <w:r>
        <w:rPr>
          <w:rFonts w:ascii="Arial" w:cs="Arial" w:eastAsia="Arial" w:hAnsi="Arial"/>
          <w:sz w:val="15"/>
          <w:szCs w:val="15"/>
          <w:color w:val="FFFFFF"/>
        </w:rPr>
        <w:t>ȅƺƏȇǣȇǕǔɖǼ</w:t>
      </w:r>
      <w:r>
        <w:rPr>
          <w:rFonts w:ascii="PMingLiU" w:cs="PMingLiU" w:eastAsia="PMingLiU" w:hAnsi="PMingLiU"/>
          <w:sz w:val="15"/>
          <w:szCs w:val="15"/>
          <w:color w:val="FFFFFF"/>
        </w:rPr>
        <w:t/>
      </w:r>
      <w:r>
        <w:rPr>
          <w:rFonts w:ascii="Arial" w:cs="Arial" w:eastAsia="Arial" w:hAnsi="Arial"/>
          <w:sz w:val="15"/>
          <w:szCs w:val="15"/>
          <w:color w:val="FFFFFF"/>
        </w:rPr>
        <w:t>ȵȸȒǕȸƺɀɀ</w:t>
      </w:r>
      <w:r>
        <w:rPr>
          <w:rFonts w:ascii="PMingLiU" w:cs="PMingLiU" w:eastAsia="PMingLiU" w:hAnsi="PMingLiU"/>
          <w:sz w:val="15"/>
          <w:szCs w:val="15"/>
          <w:color w:val="FFFFFF"/>
        </w:rPr>
        <w:t/>
      </w:r>
      <w:r>
        <w:rPr>
          <w:rFonts w:ascii="Arial" w:cs="Arial" w:eastAsia="Arial" w:hAnsi="Arial"/>
          <w:sz w:val="15"/>
          <w:szCs w:val="15"/>
          <w:color w:val="FFFFFF"/>
        </w:rPr>
        <w:t>ɯǣɎǝ</w:t>
      </w:r>
      <w:r>
        <w:rPr>
          <w:rFonts w:ascii="PMingLiU" w:cs="PMingLiU" w:eastAsia="PMingLiU" w:hAnsi="PMingLiU"/>
          <w:sz w:val="15"/>
          <w:szCs w:val="15"/>
          <w:color w:val="FFFFFF"/>
        </w:rPr>
        <w:t/>
      </w:r>
      <w:r>
        <w:rPr>
          <w:rFonts w:ascii="Arial" w:cs="Arial" w:eastAsia="Arial" w:hAnsi="Arial"/>
          <w:sz w:val="15"/>
          <w:szCs w:val="15"/>
          <w:color w:val="FFFFFF"/>
        </w:rPr>
        <w:t>Ȓɖȸ</w:t>
      </w:r>
      <w:r>
        <w:rPr>
          <w:rFonts w:ascii="PMingLiU" w:cs="PMingLiU" w:eastAsia="PMingLiU" w:hAnsi="PMingLiU"/>
          <w:sz w:val="15"/>
          <w:szCs w:val="15"/>
          <w:color w:val="FFFFFF"/>
        </w:rPr>
        <w:t/>
      </w:r>
      <w:r>
        <w:rPr>
          <w:rFonts w:ascii="Arial" w:cs="Arial" w:eastAsia="Arial" w:hAnsi="Arial"/>
          <w:sz w:val="15"/>
          <w:szCs w:val="15"/>
          <w:color w:val="FFFFFF"/>
        </w:rPr>
        <w:t>àǣɀɖƏǼ</w:t>
      </w:r>
      <w:r>
        <w:rPr>
          <w:rFonts w:ascii="PMingLiU" w:cs="PMingLiU" w:eastAsia="PMingLiU" w:hAnsi="PMingLiU"/>
          <w:sz w:val="15"/>
          <w:szCs w:val="15"/>
          <w:color w:val="FFFFFF"/>
        </w:rPr>
        <w:t/>
      </w:r>
      <w:r>
        <w:rPr>
          <w:rFonts w:ascii="Arial" w:cs="Arial" w:eastAsia="Arial" w:hAnsi="Arial"/>
          <w:sz w:val="15"/>
          <w:szCs w:val="15"/>
          <w:color w:val="FFFFFF"/>
        </w:rPr>
        <w:t>0ȇǕƏǕƺȅƺȇɎ</w:t>
      </w:r>
      <w:r>
        <w:rPr>
          <w:rFonts w:ascii="PMingLiU" w:cs="PMingLiU" w:eastAsia="PMingLiU" w:hAnsi="PMingLiU"/>
          <w:sz w:val="15"/>
          <w:szCs w:val="15"/>
          <w:color w:val="FFFFFF"/>
        </w:rPr>
        <w:t/>
      </w:r>
      <w:r>
        <w:rPr>
          <w:rFonts w:ascii="Arial" w:cs="Arial" w:eastAsia="Arial" w:hAnsi="Arial"/>
          <w:sz w:val="15"/>
          <w:szCs w:val="15"/>
          <w:color w:val="FFFFFF"/>
        </w:rPr>
        <w:t>ÁƺƬǝȇȒǼȒǕɵ</w:t>
      </w:r>
      <w:r>
        <w:rPr>
          <w:rFonts w:ascii="PMingLiU" w:cs="PMingLiU" w:eastAsia="PMingLiU" w:hAnsi="PMingLiU"/>
          <w:sz w:val="15"/>
          <w:szCs w:val="15"/>
          <w:color w:val="FFFFFF"/>
        </w:rPr>
        <w:t/>
      </w:r>
      <w:r>
        <w:rPr>
          <w:rFonts w:ascii="Arial" w:cs="Arial" w:eastAsia="Arial" w:hAnsi="Arial"/>
          <w:sz w:val="15"/>
          <w:szCs w:val="15"/>
          <w:color w:val="FFFFFF"/>
        </w:rPr>
        <w:t>ƏȇƳ</w:t>
      </w:r>
      <w:r>
        <w:rPr>
          <w:rFonts w:ascii="PMingLiU" w:cs="PMingLiU" w:eastAsia="PMingLiU" w:hAnsi="PMingLiU"/>
          <w:sz w:val="15"/>
          <w:szCs w:val="15"/>
          <w:color w:val="FFFFFF"/>
        </w:rPr>
        <w:t/>
      </w:r>
      <w:r>
        <w:rPr>
          <w:rFonts w:ascii="Arial" w:cs="Arial" w:eastAsia="Arial" w:hAnsi="Arial"/>
          <w:sz w:val="15"/>
          <w:szCs w:val="15"/>
          <w:color w:val="FFFFFF"/>
        </w:rPr>
        <w:t>ǣȅƏǕƺȸ</w:t>
      </w:r>
      <w:r>
        <w:rPr>
          <w:rFonts w:ascii="PMingLiU" w:cs="PMingLiU" w:eastAsia="PMingLiU" w:hAnsi="PMingLiU"/>
          <w:sz w:val="15"/>
          <w:szCs w:val="15"/>
          <w:color w:val="FFFFFF"/>
        </w:rPr>
        <w:t/>
      </w:r>
      <w:r>
        <w:rPr>
          <w:rFonts w:ascii="Arial" w:cs="Arial" w:eastAsia="Arial" w:hAnsi="Arial"/>
          <w:sz w:val="15"/>
          <w:szCs w:val="15"/>
          <w:color w:val="FFFFFF"/>
        </w:rPr>
        <w:t>ȵȸȒǕȸƏȅ</w:t>
      </w:r>
      <w:r>
        <w:rPr>
          <w:rFonts w:ascii="PMingLiU" w:cs="PMingLiU" w:eastAsia="PMingLiU" w:hAnsi="PMingLiU"/>
          <w:sz w:val="15"/>
          <w:szCs w:val="15"/>
          <w:color w:val="FFFFFF"/>
        </w:rPr>
        <w:t/>
      </w:r>
      <w:r>
        <w:rPr>
          <w:rFonts w:ascii="Arial" w:cs="Arial" w:eastAsia="Arial" w:hAnsi="Arial"/>
          <w:sz w:val="15"/>
          <w:szCs w:val="15"/>
          <w:color w:val="FFFFFF"/>
        </w:rPr>
        <w:t xml:space="preserve"> ٢à0Áǣ٣ً</w:t>
      </w:r>
      <w:r>
        <w:rPr>
          <w:rFonts w:ascii="PMingLiU" w:cs="PMingLiU" w:eastAsia="PMingLiU" w:hAnsi="PMingLiU"/>
          <w:sz w:val="15"/>
          <w:szCs w:val="15"/>
          <w:color w:val="FFFFFF"/>
        </w:rPr>
        <w:t/>
      </w:r>
      <w:r>
        <w:rPr>
          <w:rFonts w:ascii="Arial" w:cs="Arial" w:eastAsia="Arial" w:hAnsi="Arial"/>
          <w:sz w:val="15"/>
          <w:szCs w:val="15"/>
          <w:color w:val="FFFFFF"/>
        </w:rPr>
        <w:t xml:space="preserve"> ɯǝǣƬǝ</w:t>
      </w:r>
      <w:r>
        <w:rPr>
          <w:rFonts w:ascii="PMingLiU" w:cs="PMingLiU" w:eastAsia="PMingLiU" w:hAnsi="PMingLiU"/>
          <w:sz w:val="15"/>
          <w:szCs w:val="15"/>
          <w:color w:val="FFFFFF"/>
        </w:rPr>
        <w:t/>
      </w:r>
      <w:r>
        <w:rPr>
          <w:rFonts w:ascii="Arial" w:cs="Arial" w:eastAsia="Arial" w:hAnsi="Arial"/>
          <w:sz w:val="15"/>
          <w:szCs w:val="15"/>
          <w:color w:val="FFFFFF"/>
        </w:rPr>
        <w:t xml:space="preserve"> ɯƺ</w:t>
      </w:r>
      <w:r>
        <w:rPr>
          <w:rFonts w:ascii="PMingLiU" w:cs="PMingLiU" w:eastAsia="PMingLiU" w:hAnsi="PMingLiU"/>
          <w:sz w:val="15"/>
          <w:szCs w:val="15"/>
          <w:color w:val="FFFFFF"/>
        </w:rPr>
        <w:t/>
      </w:r>
      <w:r>
        <w:rPr>
          <w:rFonts w:ascii="Arial" w:cs="Arial" w:eastAsia="Arial" w:hAnsi="Arial"/>
          <w:sz w:val="15"/>
          <w:szCs w:val="15"/>
          <w:color w:val="FFFFFF"/>
        </w:rPr>
        <w:t xml:space="preserve"> ƫƺǼǣƺɮƺ</w:t>
      </w:r>
      <w:r>
        <w:rPr>
          <w:rFonts w:ascii="PMingLiU" w:cs="PMingLiU" w:eastAsia="PMingLiU" w:hAnsi="PMingLiU"/>
          <w:sz w:val="15"/>
          <w:szCs w:val="15"/>
          <w:color w:val="FFFFFF"/>
        </w:rPr>
        <w:t/>
      </w:r>
      <w:r>
        <w:rPr>
          <w:rFonts w:ascii="Arial" w:cs="Arial" w:eastAsia="Arial" w:hAnsi="Arial"/>
          <w:sz w:val="15"/>
          <w:szCs w:val="15"/>
          <w:color w:val="FFFFFF"/>
        </w:rPr>
        <w:t xml:space="preserve"> ǝƏɀ</w:t>
      </w:r>
      <w:r>
        <w:rPr>
          <w:rFonts w:ascii="PMingLiU" w:cs="PMingLiU" w:eastAsia="PMingLiU" w:hAnsi="PMingLiU"/>
          <w:sz w:val="15"/>
          <w:szCs w:val="15"/>
          <w:color w:val="FFFFFF"/>
        </w:rPr>
        <w:t/>
      </w:r>
      <w:r>
        <w:rPr>
          <w:rFonts w:ascii="Arial" w:cs="Arial" w:eastAsia="Arial" w:hAnsi="Arial"/>
          <w:sz w:val="15"/>
          <w:szCs w:val="15"/>
          <w:color w:val="FFFFFF"/>
        </w:rPr>
        <w:t xml:space="preserve"> Ɏǝƺ</w:t>
      </w:r>
      <w:r>
        <w:rPr>
          <w:rFonts w:ascii="PMingLiU" w:cs="PMingLiU" w:eastAsia="PMingLiU" w:hAnsi="PMingLiU"/>
          <w:sz w:val="15"/>
          <w:szCs w:val="15"/>
          <w:color w:val="FFFFFF"/>
        </w:rPr>
        <w:t/>
      </w:r>
      <w:r>
        <w:rPr>
          <w:rFonts w:ascii="Arial" w:cs="Arial" w:eastAsia="Arial" w:hAnsi="Arial"/>
          <w:sz w:val="15"/>
          <w:szCs w:val="15"/>
          <w:color w:val="FFFFFF"/>
        </w:rPr>
        <w:t xml:space="preserve"> ȵȒɎƺȇɎǣƏǼ</w:t>
      </w:r>
      <w:r>
        <w:rPr>
          <w:rFonts w:ascii="PMingLiU" w:cs="PMingLiU" w:eastAsia="PMingLiU" w:hAnsi="PMingLiU"/>
          <w:sz w:val="15"/>
          <w:szCs w:val="15"/>
          <w:color w:val="FFFFFF"/>
        </w:rPr>
        <w:t/>
      </w:r>
      <w:r>
        <w:rPr>
          <w:rFonts w:ascii="Arial" w:cs="Arial" w:eastAsia="Arial" w:hAnsi="Arial"/>
          <w:sz w:val="15"/>
          <w:szCs w:val="15"/>
          <w:color w:val="FFFFFF"/>
        </w:rPr>
        <w:t xml:space="preserve"> ɎȒ</w:t>
      </w:r>
      <w:r>
        <w:rPr>
          <w:rFonts w:ascii="PMingLiU" w:cs="PMingLiU" w:eastAsia="PMingLiU" w:hAnsi="PMingLiU"/>
          <w:sz w:val="15"/>
          <w:szCs w:val="15"/>
          <w:color w:val="FFFFFF"/>
        </w:rPr>
        <w:t/>
      </w:r>
      <w:r>
        <w:rPr>
          <w:rFonts w:ascii="Arial" w:cs="Arial" w:eastAsia="Arial" w:hAnsi="Arial"/>
          <w:sz w:val="15"/>
          <w:szCs w:val="15"/>
          <w:color w:val="FFFFFF"/>
        </w:rPr>
        <w:t xml:space="preserve"> ƫƺƬȒȅƺ</w:t>
      </w:r>
      <w:r>
        <w:rPr>
          <w:rFonts w:ascii="PMingLiU" w:cs="PMingLiU" w:eastAsia="PMingLiU" w:hAnsi="PMingLiU"/>
          <w:sz w:val="15"/>
          <w:szCs w:val="15"/>
          <w:color w:val="FFFFFF"/>
        </w:rPr>
        <w:t/>
      </w:r>
      <w:r>
        <w:rPr>
          <w:rFonts w:ascii="Arial" w:cs="Arial" w:eastAsia="Arial" w:hAnsi="Arial"/>
          <w:sz w:val="15"/>
          <w:szCs w:val="15"/>
          <w:color w:val="FFFFFF"/>
        </w:rPr>
        <w:t xml:space="preserve"> Əȇ</w:t>
      </w:r>
      <w:r>
        <w:rPr>
          <w:rFonts w:ascii="PMingLiU" w:cs="PMingLiU" w:eastAsia="PMingLiU" w:hAnsi="PMingLiU"/>
          <w:sz w:val="15"/>
          <w:szCs w:val="15"/>
          <w:color w:val="FFFFFF"/>
        </w:rPr>
        <w:t/>
      </w:r>
      <w:r>
        <w:rPr>
          <w:rFonts w:ascii="Arial" w:cs="Arial" w:eastAsia="Arial" w:hAnsi="Arial"/>
          <w:sz w:val="15"/>
          <w:szCs w:val="15"/>
          <w:color w:val="FFFFFF"/>
        </w:rPr>
        <w:t xml:space="preserve"> ǣȅȵȒȸɎƏȇɎ</w:t>
      </w:r>
      <w:r>
        <w:rPr>
          <w:rFonts w:ascii="PMingLiU" w:cs="PMingLiU" w:eastAsia="PMingLiU" w:hAnsi="PMingLiU"/>
          <w:sz w:val="15"/>
          <w:szCs w:val="15"/>
          <w:color w:val="FFFFFF"/>
        </w:rPr>
        <w:t/>
      </w:r>
      <w:r>
        <w:rPr>
          <w:rFonts w:ascii="Arial" w:cs="Arial" w:eastAsia="Arial" w:hAnsi="Arial"/>
          <w:sz w:val="15"/>
          <w:szCs w:val="15"/>
          <w:color w:val="FFFFFF"/>
        </w:rPr>
        <w:t xml:space="preserve"> ȵƏȸɎ</w:t>
      </w:r>
      <w:r>
        <w:rPr>
          <w:rFonts w:ascii="PMingLiU" w:cs="PMingLiU" w:eastAsia="PMingLiU" w:hAnsi="PMingLiU"/>
          <w:sz w:val="15"/>
          <w:szCs w:val="15"/>
          <w:color w:val="FFFFFF"/>
        </w:rPr>
        <w:t/>
      </w:r>
      <w:r>
        <w:rPr>
          <w:rFonts w:ascii="Arial" w:cs="Arial" w:eastAsia="Arial" w:hAnsi="Arial"/>
          <w:sz w:val="15"/>
          <w:szCs w:val="15"/>
          <w:color w:val="FFFFFF"/>
        </w:rPr>
        <w:t xml:space="preserve"> Ȓǔ</w:t>
      </w:r>
      <w:r>
        <w:rPr>
          <w:rFonts w:ascii="PMingLiU" w:cs="PMingLiU" w:eastAsia="PMingLiU" w:hAnsi="PMingLiU"/>
          <w:sz w:val="15"/>
          <w:szCs w:val="15"/>
          <w:color w:val="FFFFFF"/>
        </w:rPr>
        <w:t/>
      </w:r>
      <w:r>
        <w:rPr>
          <w:rFonts w:ascii="Arial" w:cs="Arial" w:eastAsia="Arial" w:hAnsi="Arial"/>
          <w:sz w:val="15"/>
          <w:szCs w:val="15"/>
          <w:color w:val="FFFFFF"/>
        </w:rPr>
        <w:t xml:space="preserve"> ǝȒɯ</w:t>
      </w:r>
      <w:r>
        <w:rPr>
          <w:rFonts w:ascii="PMingLiU" w:cs="PMingLiU" w:eastAsia="PMingLiU" w:hAnsi="PMingLiU"/>
          <w:sz w:val="15"/>
          <w:szCs w:val="15"/>
          <w:color w:val="FFFFFF"/>
        </w:rPr>
        <w:t/>
      </w:r>
      <w:r>
        <w:rPr>
          <w:rFonts w:ascii="Arial" w:cs="Arial" w:eastAsia="Arial" w:hAnsi="Arial"/>
          <w:sz w:val="15"/>
          <w:szCs w:val="15"/>
          <w:color w:val="FFFFFF"/>
        </w:rPr>
        <w:t xml:space="preserve"> kȒƳǣƏǸ</w:t>
      </w:r>
      <w:r>
        <w:rPr>
          <w:rFonts w:ascii="PMingLiU" w:cs="PMingLiU" w:eastAsia="PMingLiU" w:hAnsi="PMingLiU"/>
          <w:sz w:val="15"/>
          <w:szCs w:val="15"/>
          <w:color w:val="FFFFFF"/>
        </w:rPr>
        <w:t/>
      </w:r>
      <w:r>
        <w:rPr>
          <w:rFonts w:ascii="Arial" w:cs="Arial" w:eastAsia="Arial" w:hAnsi="Arial"/>
          <w:sz w:val="15"/>
          <w:szCs w:val="15"/>
          <w:color w:val="FFFFFF"/>
        </w:rPr>
        <w:t xml:space="preserve"> ƫɖǣǼƳɀ</w:t>
      </w:r>
      <w:r>
        <w:rPr>
          <w:rFonts w:ascii="PMingLiU" w:cs="PMingLiU" w:eastAsia="PMingLiU" w:hAnsi="PMingLiU"/>
          <w:sz w:val="15"/>
          <w:szCs w:val="15"/>
          <w:color w:val="FFFFFF"/>
        </w:rPr>
        <w:t/>
      </w:r>
      <w:r>
        <w:rPr>
          <w:rFonts w:ascii="Arial" w:cs="Arial" w:eastAsia="Arial" w:hAnsi="Arial"/>
          <w:sz w:val="15"/>
          <w:szCs w:val="15"/>
          <w:color w:val="FFFFFF"/>
        </w:rPr>
        <w:t xml:space="preserve"> ɮƏǼɖƺ</w:t>
      </w:r>
      <w:r>
        <w:rPr>
          <w:rFonts w:ascii="PMingLiU" w:cs="PMingLiU" w:eastAsia="PMingLiU" w:hAnsi="PMingLiU"/>
          <w:sz w:val="15"/>
          <w:szCs w:val="15"/>
          <w:color w:val="FFFFFF"/>
        </w:rPr>
        <w:t/>
      </w:r>
      <w:r>
        <w:rPr>
          <w:rFonts w:ascii="Arial" w:cs="Arial" w:eastAsia="Arial" w:hAnsi="Arial"/>
          <w:sz w:val="15"/>
          <w:szCs w:val="15"/>
          <w:color w:val="FFFFFF"/>
        </w:rPr>
        <w:t xml:space="preserve"> Ȓɮƺȸ</w:t>
      </w:r>
      <w:r>
        <w:rPr>
          <w:rFonts w:ascii="PMingLiU" w:cs="PMingLiU" w:eastAsia="PMingLiU" w:hAnsi="PMingLiU"/>
          <w:sz w:val="15"/>
          <w:szCs w:val="15"/>
          <w:color w:val="FFFFFF"/>
        </w:rPr>
        <w:t/>
      </w:r>
      <w:r>
        <w:rPr>
          <w:rFonts w:ascii="Arial" w:cs="Arial" w:eastAsia="Arial" w:hAnsi="Arial"/>
          <w:sz w:val="15"/>
          <w:szCs w:val="15"/>
          <w:color w:val="FFFFFF"/>
        </w:rPr>
        <w:t>Ɏǝƺ</w:t>
      </w:r>
      <w:r>
        <w:rPr>
          <w:rFonts w:ascii="PMingLiU" w:cs="PMingLiU" w:eastAsia="PMingLiU" w:hAnsi="PMingLiU"/>
          <w:sz w:val="15"/>
          <w:szCs w:val="15"/>
          <w:color w:val="FFFFFF"/>
        </w:rPr>
        <w:t/>
      </w:r>
      <w:r>
        <w:rPr>
          <w:rFonts w:ascii="Arial" w:cs="Arial" w:eastAsia="Arial" w:hAnsi="Arial"/>
          <w:sz w:val="15"/>
          <w:szCs w:val="15"/>
          <w:color w:val="FFFFFF"/>
        </w:rPr>
        <w:t>ǼȒȇǕ</w:t>
      </w:r>
      <w:r>
        <w:rPr>
          <w:rFonts w:ascii="PMingLiU" w:cs="PMingLiU" w:eastAsia="PMingLiU" w:hAnsi="PMingLiU"/>
          <w:sz w:val="15"/>
          <w:szCs w:val="15"/>
          <w:color w:val="FFFFFF"/>
        </w:rPr>
        <w:t/>
      </w:r>
      <w:r>
        <w:rPr>
          <w:rFonts w:ascii="Arial" w:cs="Arial" w:eastAsia="Arial" w:hAnsi="Arial"/>
          <w:sz w:val="15"/>
          <w:szCs w:val="15"/>
          <w:color w:val="FFFFFF"/>
        </w:rPr>
        <w:t>Ɏƺȸȅِ</w:t>
      </w:r>
      <w:r>
        <w:rPr>
          <w:rFonts w:ascii="PMingLiU" w:cs="PMingLiU" w:eastAsia="PMingLiU" w:hAnsi="PMingLiU"/>
          <w:sz w:val="15"/>
          <w:szCs w:val="15"/>
          <w:color w:val="FFFFFF"/>
        </w:rPr>
        <w:t/>
      </w:r>
      <w:r>
        <w:rPr>
          <w:rFonts w:ascii="Arial" w:cs="Arial" w:eastAsia="Arial" w:hAnsi="Arial"/>
          <w:sz w:val="15"/>
          <w:szCs w:val="15"/>
          <w:color w:val="FFFFFF"/>
        </w:rPr>
        <w:t>à0Áǣ</w:t>
      </w:r>
      <w:r>
        <w:rPr>
          <w:rFonts w:ascii="PMingLiU" w:cs="PMingLiU" w:eastAsia="PMingLiU" w:hAnsi="PMingLiU"/>
          <w:sz w:val="15"/>
          <w:szCs w:val="15"/>
          <w:color w:val="FFFFFF"/>
        </w:rPr>
        <w:t/>
      </w:r>
      <w:r>
        <w:rPr>
          <w:rFonts w:ascii="Arial" w:cs="Arial" w:eastAsia="Arial" w:hAnsi="Arial"/>
          <w:sz w:val="15"/>
          <w:szCs w:val="15"/>
          <w:color w:val="FFFFFF"/>
        </w:rPr>
        <w:t>ǣɀ</w:t>
      </w:r>
      <w:r>
        <w:rPr>
          <w:rFonts w:ascii="PMingLiU" w:cs="PMingLiU" w:eastAsia="PMingLiU" w:hAnsi="PMingLiU"/>
          <w:sz w:val="15"/>
          <w:szCs w:val="15"/>
          <w:color w:val="FFFFFF"/>
        </w:rPr>
        <w:t/>
      </w:r>
      <w:r>
        <w:rPr>
          <w:rFonts w:ascii="Arial" w:cs="Arial" w:eastAsia="Arial" w:hAnsi="Arial"/>
          <w:sz w:val="15"/>
          <w:szCs w:val="15"/>
          <w:color w:val="FFFFFF"/>
        </w:rPr>
        <w:t>Əȇ</w:t>
      </w:r>
      <w:r>
        <w:rPr>
          <w:rFonts w:ascii="PMingLiU" w:cs="PMingLiU" w:eastAsia="PMingLiU" w:hAnsi="PMingLiU"/>
          <w:sz w:val="15"/>
          <w:szCs w:val="15"/>
          <w:color w:val="FFFFFF"/>
        </w:rPr>
        <w:t/>
      </w:r>
      <w:r>
        <w:rPr>
          <w:rFonts w:ascii="Arial" w:cs="Arial" w:eastAsia="Arial" w:hAnsi="Arial"/>
          <w:sz w:val="15"/>
          <w:szCs w:val="15"/>
          <w:color w:val="FFFFFF"/>
        </w:rPr>
        <w:t>ƏɖɎȒȇȒȅȒɖɀً</w:t>
      </w:r>
      <w:r>
        <w:rPr>
          <w:rFonts w:ascii="PMingLiU" w:cs="PMingLiU" w:eastAsia="PMingLiU" w:hAnsi="PMingLiU"/>
          <w:sz w:val="15"/>
          <w:szCs w:val="15"/>
          <w:color w:val="FFFFFF"/>
        </w:rPr>
        <w:t/>
      </w:r>
      <w:r>
        <w:rPr>
          <w:rFonts w:ascii="Arial" w:cs="Arial" w:eastAsia="Arial" w:hAnsi="Arial"/>
          <w:sz w:val="15"/>
          <w:szCs w:val="15"/>
          <w:color w:val="FFFFFF"/>
        </w:rPr>
        <w:t>Xٮ</w:t>
      </w:r>
      <w:r>
        <w:rPr>
          <w:rFonts w:ascii="PMingLiU" w:cs="PMingLiU" w:eastAsia="PMingLiU" w:hAnsi="PMingLiU"/>
          <w:sz w:val="15"/>
          <w:szCs w:val="15"/>
          <w:color w:val="FFFFFF"/>
        </w:rPr>
        <w:t/>
      </w:r>
      <w:r>
        <w:rPr>
          <w:rFonts w:ascii="Arial" w:cs="Arial" w:eastAsia="Arial" w:hAnsi="Arial"/>
          <w:sz w:val="15"/>
          <w:szCs w:val="15"/>
          <w:color w:val="FFFFFF"/>
        </w:rPr>
        <w:t>ƏȇƳ</w:t>
      </w:r>
      <w:r>
        <w:rPr>
          <w:rFonts w:ascii="PMingLiU" w:cs="PMingLiU" w:eastAsia="PMingLiU" w:hAnsi="PMingLiU"/>
          <w:sz w:val="15"/>
          <w:szCs w:val="15"/>
          <w:color w:val="FFFFFF"/>
        </w:rPr>
        <w:t/>
      </w:r>
      <w:r>
        <w:rPr>
          <w:rFonts w:ascii="Arial" w:cs="Arial" w:eastAsia="Arial" w:hAnsi="Arial"/>
          <w:sz w:val="15"/>
          <w:szCs w:val="15"/>
          <w:color w:val="FFFFFF"/>
        </w:rPr>
        <w:t>ȅƏƬǝǣȇƺ</w:t>
      </w:r>
      <w:r>
        <w:rPr>
          <w:rFonts w:ascii="PMingLiU" w:cs="PMingLiU" w:eastAsia="PMingLiU" w:hAnsi="PMingLiU"/>
          <w:sz w:val="15"/>
          <w:szCs w:val="15"/>
          <w:color w:val="FFFFFF"/>
        </w:rPr>
        <w:t/>
      </w:r>
      <w:r>
        <w:rPr>
          <w:rFonts w:ascii="Arial" w:cs="Arial" w:eastAsia="Arial" w:hAnsi="Arial"/>
          <w:sz w:val="15"/>
          <w:szCs w:val="15"/>
          <w:color w:val="FFFFFF"/>
        </w:rPr>
        <w:t>ǼƺƏȸȇǣȇǕٮƺȇƏƫǼƺƳ</w:t>
      </w:r>
      <w:r>
        <w:rPr>
          <w:rFonts w:ascii="PMingLiU" w:cs="PMingLiU" w:eastAsia="PMingLiU" w:hAnsi="PMingLiU"/>
          <w:sz w:val="15"/>
          <w:szCs w:val="15"/>
          <w:color w:val="FFFFFF"/>
        </w:rPr>
        <w:t/>
      </w:r>
      <w:r>
        <w:rPr>
          <w:rFonts w:ascii="Arial" w:cs="Arial" w:eastAsia="Arial" w:hAnsi="Arial"/>
          <w:sz w:val="15"/>
          <w:szCs w:val="15"/>
          <w:color w:val="FFFFFF"/>
        </w:rPr>
        <w:t>ɯƺƏȸƏƫǼƺ</w:t>
      </w:r>
      <w:r>
        <w:rPr>
          <w:rFonts w:ascii="PMingLiU" w:cs="PMingLiU" w:eastAsia="PMingLiU" w:hAnsi="PMingLiU"/>
          <w:sz w:val="15"/>
          <w:szCs w:val="15"/>
          <w:color w:val="FFFFFF"/>
        </w:rPr>
        <w:t/>
      </w:r>
      <w:r>
        <w:rPr>
          <w:rFonts w:ascii="Arial" w:cs="Arial" w:eastAsia="Arial" w:hAnsi="Arial"/>
          <w:sz w:val="15"/>
          <w:szCs w:val="15"/>
          <w:color w:val="FFFFFF"/>
        </w:rPr>
        <w:t>ǝƺƏƳɀƺɎ</w:t>
      </w:r>
      <w:r>
        <w:rPr>
          <w:rFonts w:ascii="PMingLiU" w:cs="PMingLiU" w:eastAsia="PMingLiU" w:hAnsi="PMingLiU"/>
          <w:sz w:val="15"/>
          <w:szCs w:val="15"/>
          <w:color w:val="FFFFFF"/>
        </w:rPr>
        <w:t/>
      </w:r>
      <w:r>
        <w:rPr>
          <w:rFonts w:ascii="Arial" w:cs="Arial" w:eastAsia="Arial" w:hAnsi="Arial"/>
          <w:sz w:val="15"/>
          <w:szCs w:val="15"/>
          <w:color w:val="FFFFFF"/>
        </w:rPr>
        <w:t>ƫɖǣǼɎ</w:t>
      </w:r>
      <w:r>
        <w:rPr>
          <w:rFonts w:ascii="PMingLiU" w:cs="PMingLiU" w:eastAsia="PMingLiU" w:hAnsi="PMingLiU"/>
          <w:sz w:val="15"/>
          <w:szCs w:val="15"/>
          <w:color w:val="FFFFFF"/>
        </w:rPr>
        <w:t/>
      </w:r>
      <w:r>
        <w:rPr>
          <w:rFonts w:ascii="Arial" w:cs="Arial" w:eastAsia="Arial" w:hAnsi="Arial"/>
          <w:sz w:val="15"/>
          <w:szCs w:val="15"/>
          <w:color w:val="FFFFFF"/>
        </w:rPr>
        <w:t xml:space="preserve"> Ȓȇ</w:t>
      </w:r>
      <w:r>
        <w:rPr>
          <w:rFonts w:ascii="PMingLiU" w:cs="PMingLiU" w:eastAsia="PMingLiU" w:hAnsi="PMingLiU"/>
          <w:sz w:val="15"/>
          <w:szCs w:val="15"/>
          <w:color w:val="FFFFFF"/>
        </w:rPr>
        <w:t/>
      </w:r>
      <w:r>
        <w:rPr>
          <w:rFonts w:ascii="Arial" w:cs="Arial" w:eastAsia="Arial" w:hAnsi="Arial"/>
          <w:sz w:val="15"/>
          <w:szCs w:val="15"/>
          <w:color w:val="FFFFFF"/>
        </w:rPr>
        <w:t xml:space="preserve"> kȒƳǣƏǸټɀ</w:t>
      </w:r>
      <w:r>
        <w:rPr>
          <w:rFonts w:ascii="PMingLiU" w:cs="PMingLiU" w:eastAsia="PMingLiU" w:hAnsi="PMingLiU"/>
          <w:sz w:val="15"/>
          <w:szCs w:val="15"/>
          <w:color w:val="FFFFFF"/>
        </w:rPr>
        <w:t/>
      </w:r>
      <w:r>
        <w:rPr>
          <w:rFonts w:ascii="Arial" w:cs="Arial" w:eastAsia="Arial" w:hAnsi="Arial"/>
          <w:sz w:val="15"/>
          <w:szCs w:val="15"/>
          <w:color w:val="FFFFFF"/>
        </w:rPr>
        <w:t xml:space="preserve"> ɀɖǣɎƺ</w:t>
      </w:r>
      <w:r>
        <w:rPr>
          <w:rFonts w:ascii="PMingLiU" w:cs="PMingLiU" w:eastAsia="PMingLiU" w:hAnsi="PMingLiU"/>
          <w:sz w:val="15"/>
          <w:szCs w:val="15"/>
          <w:color w:val="FFFFFF"/>
        </w:rPr>
        <w:t/>
      </w:r>
      <w:r>
        <w:rPr>
          <w:rFonts w:ascii="Arial" w:cs="Arial" w:eastAsia="Arial" w:hAnsi="Arial"/>
          <w:sz w:val="15"/>
          <w:szCs w:val="15"/>
          <w:color w:val="FFFFFF"/>
        </w:rPr>
        <w:t xml:space="preserve"> Ȓǔ</w:t>
      </w:r>
      <w:r>
        <w:rPr>
          <w:rFonts w:ascii="PMingLiU" w:cs="PMingLiU" w:eastAsia="PMingLiU" w:hAnsi="PMingLiU"/>
          <w:sz w:val="15"/>
          <w:szCs w:val="15"/>
          <w:color w:val="FFFFFF"/>
        </w:rPr>
        <w:t/>
      </w:r>
      <w:r>
        <w:rPr>
          <w:rFonts w:ascii="Arial" w:cs="Arial" w:eastAsia="Arial" w:hAnsi="Arial"/>
          <w:sz w:val="15"/>
          <w:szCs w:val="15"/>
          <w:color w:val="FFFFFF"/>
        </w:rPr>
        <w:t xml:space="preserve"> ȵȸȒȵȸǣƺɎƏȸɵ</w:t>
      </w:r>
      <w:r>
        <w:rPr>
          <w:rFonts w:ascii="PMingLiU" w:cs="PMingLiU" w:eastAsia="PMingLiU" w:hAnsi="PMingLiU"/>
          <w:sz w:val="15"/>
          <w:szCs w:val="15"/>
          <w:color w:val="FFFFFF"/>
        </w:rPr>
        <w:t/>
      </w:r>
      <w:r>
        <w:rPr>
          <w:rFonts w:ascii="Arial" w:cs="Arial" w:eastAsia="Arial" w:hAnsi="Arial"/>
          <w:sz w:val="15"/>
          <w:szCs w:val="15"/>
          <w:color w:val="FFFFFF"/>
        </w:rPr>
        <w:t xml:space="preserve"> nǣ(</w:t>
      </w:r>
      <w:r>
        <w:rPr>
          <w:rFonts w:ascii="PMingLiU" w:cs="PMingLiU" w:eastAsia="PMingLiU" w:hAnsi="PMingLiU"/>
          <w:sz w:val="15"/>
          <w:szCs w:val="15"/>
          <w:color w:val="FFFFFF"/>
        </w:rPr>
        <w:t/>
      </w:r>
      <w:r>
        <w:rPr>
          <w:rFonts w:ascii="Arial" w:cs="Arial" w:eastAsia="Arial" w:hAnsi="Arial"/>
          <w:sz w:val="15"/>
          <w:szCs w:val="15"/>
          <w:color w:val="FFFFFF"/>
        </w:rPr>
        <w:t>«</w:t>
      </w:r>
      <w:r>
        <w:rPr>
          <w:rFonts w:ascii="PMingLiU" w:cs="PMingLiU" w:eastAsia="PMingLiU" w:hAnsi="PMingLiU"/>
          <w:sz w:val="15"/>
          <w:szCs w:val="15"/>
          <w:color w:val="FFFFFF"/>
        </w:rPr>
        <w:t/>
      </w:r>
      <w:r>
        <w:rPr>
          <w:rFonts w:ascii="Arial" w:cs="Arial" w:eastAsia="Arial" w:hAnsi="Arial"/>
          <w:sz w:val="15"/>
          <w:szCs w:val="15"/>
          <w:color w:val="FFFFFF"/>
        </w:rPr>
        <w:t xml:space="preserve"> ɀƺȇɀȒȸ</w:t>
      </w:r>
      <w:r>
        <w:rPr>
          <w:rFonts w:ascii="PMingLiU" w:cs="PMingLiU" w:eastAsia="PMingLiU" w:hAnsi="PMingLiU"/>
          <w:sz w:val="15"/>
          <w:szCs w:val="15"/>
          <w:color w:val="FFFFFF"/>
        </w:rPr>
        <w:t/>
      </w:r>
      <w:r>
        <w:rPr>
          <w:rFonts w:ascii="Arial" w:cs="Arial" w:eastAsia="Arial" w:hAnsi="Arial"/>
          <w:sz w:val="15"/>
          <w:szCs w:val="15"/>
          <w:color w:val="FFFFFF"/>
        </w:rPr>
        <w:t xml:space="preserve"> ɎƺƬǝȇȒǼȒǕǣƺɀ</w:t>
      </w:r>
      <w:r>
        <w:rPr>
          <w:rFonts w:ascii="PMingLiU" w:cs="PMingLiU" w:eastAsia="PMingLiU" w:hAnsi="PMingLiU"/>
          <w:sz w:val="15"/>
          <w:szCs w:val="15"/>
          <w:color w:val="FFFFFF"/>
        </w:rPr>
        <w:t/>
      </w:r>
      <w:r>
        <w:rPr>
          <w:rFonts w:ascii="Arial" w:cs="Arial" w:eastAsia="Arial" w:hAnsi="Arial"/>
          <w:sz w:val="15"/>
          <w:szCs w:val="15"/>
          <w:color w:val="FFFFFF"/>
        </w:rPr>
        <w:t xml:space="preserve"> ɯǝǣƬǝ</w:t>
      </w:r>
      <w:r>
        <w:rPr>
          <w:rFonts w:ascii="PMingLiU" w:cs="PMingLiU" w:eastAsia="PMingLiU" w:hAnsi="PMingLiU"/>
          <w:sz w:val="15"/>
          <w:szCs w:val="15"/>
          <w:color w:val="FFFFFF"/>
        </w:rPr>
        <w:t/>
      </w:r>
      <w:r>
        <w:rPr>
          <w:rFonts w:ascii="Arial" w:cs="Arial" w:eastAsia="Arial" w:hAnsi="Arial"/>
          <w:sz w:val="15"/>
          <w:szCs w:val="15"/>
          <w:color w:val="FFFFFF"/>
        </w:rPr>
        <w:t xml:space="preserve"> ƺȇǕƏǕƺ</w:t>
      </w:r>
      <w:r>
        <w:rPr>
          <w:rFonts w:ascii="PMingLiU" w:cs="PMingLiU" w:eastAsia="PMingLiU" w:hAnsi="PMingLiU"/>
          <w:sz w:val="15"/>
          <w:szCs w:val="15"/>
          <w:color w:val="FFFFFF"/>
        </w:rPr>
        <w:t/>
      </w:r>
      <w:r>
        <w:rPr>
          <w:rFonts w:ascii="Arial" w:cs="Arial" w:eastAsia="Arial" w:hAnsi="Arial"/>
          <w:sz w:val="15"/>
          <w:szCs w:val="15"/>
          <w:color w:val="FFFFFF"/>
        </w:rPr>
        <w:t xml:space="preserve"> ƳǣȸƺƬɎǼɵ</w:t>
      </w:r>
      <w:r>
        <w:rPr>
          <w:rFonts w:ascii="PMingLiU" w:cs="PMingLiU" w:eastAsia="PMingLiU" w:hAnsi="PMingLiU"/>
          <w:sz w:val="15"/>
          <w:szCs w:val="15"/>
          <w:color w:val="FFFFFF"/>
        </w:rPr>
        <w:t/>
      </w:r>
      <w:r>
        <w:rPr>
          <w:rFonts w:ascii="Arial" w:cs="Arial" w:eastAsia="Arial" w:hAnsi="Arial"/>
          <w:sz w:val="15"/>
          <w:szCs w:val="15"/>
          <w:color w:val="FFFFFF"/>
        </w:rPr>
        <w:t xml:space="preserve"> ɯǣɎǝ</w:t>
      </w:r>
      <w:r>
        <w:rPr>
          <w:rFonts w:ascii="PMingLiU" w:cs="PMingLiU" w:eastAsia="PMingLiU" w:hAnsi="PMingLiU"/>
          <w:sz w:val="15"/>
          <w:szCs w:val="15"/>
          <w:color w:val="FFFFFF"/>
        </w:rPr>
        <w:t/>
      </w:r>
      <w:r>
        <w:rPr>
          <w:rFonts w:ascii="Arial" w:cs="Arial" w:eastAsia="Arial" w:hAnsi="Arial"/>
          <w:sz w:val="15"/>
          <w:szCs w:val="15"/>
          <w:color w:val="FFFFFF"/>
        </w:rPr>
        <w:t xml:space="preserve"> Ɏǝƺ</w:t>
      </w:r>
      <w:r>
        <w:rPr>
          <w:rFonts w:ascii="PMingLiU" w:cs="PMingLiU" w:eastAsia="PMingLiU" w:hAnsi="PMingLiU"/>
          <w:sz w:val="15"/>
          <w:szCs w:val="15"/>
          <w:color w:val="FFFFFF"/>
        </w:rPr>
        <w:t/>
      </w:r>
      <w:r>
        <w:rPr>
          <w:rFonts w:ascii="Arial" w:cs="Arial" w:eastAsia="Arial" w:hAnsi="Arial"/>
          <w:sz w:val="15"/>
          <w:szCs w:val="15"/>
          <w:color w:val="FFFFFF"/>
        </w:rPr>
        <w:t xml:space="preserve"> ƺɵƺِ</w:t>
      </w:r>
      <w:r>
        <w:rPr>
          <w:rFonts w:ascii="PMingLiU" w:cs="PMingLiU" w:eastAsia="PMingLiU" w:hAnsi="PMingLiU"/>
          <w:sz w:val="15"/>
          <w:szCs w:val="15"/>
          <w:color w:val="FFFFFF"/>
        </w:rPr>
        <w:t/>
      </w:r>
      <w:r>
        <w:rPr>
          <w:rFonts w:ascii="Arial" w:cs="Arial" w:eastAsia="Arial" w:hAnsi="Arial"/>
          <w:sz w:val="15"/>
          <w:szCs w:val="15"/>
          <w:color w:val="FFFFFF"/>
        </w:rPr>
        <w:t xml:space="preserve"> Áǝƺ</w:t>
      </w:r>
      <w:r>
        <w:rPr>
          <w:rFonts w:ascii="PMingLiU" w:cs="PMingLiU" w:eastAsia="PMingLiU" w:hAnsi="PMingLiU"/>
          <w:sz w:val="15"/>
          <w:szCs w:val="15"/>
          <w:color w:val="FFFFFF"/>
        </w:rPr>
        <w:t/>
      </w:r>
      <w:r>
        <w:rPr>
          <w:rFonts w:ascii="Arial" w:cs="Arial" w:eastAsia="Arial" w:hAnsi="Arial"/>
          <w:sz w:val="15"/>
          <w:szCs w:val="15"/>
          <w:color w:val="FFFFFF"/>
        </w:rPr>
        <w:t xml:space="preserve"> ȵȸȒǕȸƏȅ</w:t>
      </w:r>
      <w:r>
        <w:rPr>
          <w:rFonts w:ascii="PMingLiU" w:cs="PMingLiU" w:eastAsia="PMingLiU" w:hAnsi="PMingLiU"/>
          <w:sz w:val="15"/>
          <w:szCs w:val="15"/>
          <w:color w:val="FFFFFF"/>
        </w:rPr>
        <w:t/>
      </w:r>
      <w:r>
        <w:rPr>
          <w:rFonts w:ascii="Arial" w:cs="Arial" w:eastAsia="Arial" w:hAnsi="Arial"/>
          <w:sz w:val="15"/>
          <w:szCs w:val="15"/>
          <w:color w:val="FFFFFF"/>
        </w:rPr>
        <w:t>ǝƏɀ</w:t>
      </w:r>
      <w:r>
        <w:rPr>
          <w:rFonts w:ascii="PMingLiU" w:cs="PMingLiU" w:eastAsia="PMingLiU" w:hAnsi="PMingLiU"/>
          <w:sz w:val="15"/>
          <w:szCs w:val="15"/>
          <w:color w:val="FFFFFF"/>
        </w:rPr>
        <w:t/>
      </w:r>
      <w:r>
        <w:rPr>
          <w:rFonts w:ascii="Arial" w:cs="Arial" w:eastAsia="Arial" w:hAnsi="Arial"/>
          <w:sz w:val="15"/>
          <w:szCs w:val="15"/>
          <w:color w:val="FFFFFF"/>
        </w:rPr>
        <w:t>ƏƬǝǣƺɮƺƳ</w:t>
      </w:r>
      <w:r>
        <w:rPr>
          <w:rFonts w:ascii="PMingLiU" w:cs="PMingLiU" w:eastAsia="PMingLiU" w:hAnsi="PMingLiU"/>
          <w:sz w:val="15"/>
          <w:szCs w:val="15"/>
          <w:color w:val="FFFFFF"/>
        </w:rPr>
        <w:t/>
      </w:r>
      <w:r>
        <w:rPr>
          <w:rFonts w:ascii="Arial" w:cs="Arial" w:eastAsia="Arial" w:hAnsi="Arial"/>
          <w:sz w:val="15"/>
          <w:szCs w:val="15"/>
          <w:color w:val="FFFFFF"/>
        </w:rPr>
        <w:t>ɀǣǕȇǣˡƬƏȇɎ</w:t>
      </w:r>
      <w:r>
        <w:rPr>
          <w:rFonts w:ascii="PMingLiU" w:cs="PMingLiU" w:eastAsia="PMingLiU" w:hAnsi="PMingLiU"/>
          <w:sz w:val="15"/>
          <w:szCs w:val="15"/>
          <w:color w:val="FFFFFF"/>
        </w:rPr>
        <w:t/>
      </w:r>
      <w:r>
        <w:rPr>
          <w:rFonts w:ascii="Arial" w:cs="Arial" w:eastAsia="Arial" w:hAnsi="Arial"/>
          <w:sz w:val="15"/>
          <w:szCs w:val="15"/>
          <w:color w:val="FFFFFF"/>
        </w:rPr>
        <w:t>ƏƳɮƏȇƬƺȅƺȇɎɀ</w:t>
      </w:r>
      <w:r>
        <w:rPr>
          <w:rFonts w:ascii="PMingLiU" w:cs="PMingLiU" w:eastAsia="PMingLiU" w:hAnsi="PMingLiU"/>
          <w:sz w:val="15"/>
          <w:szCs w:val="15"/>
          <w:color w:val="FFFFFF"/>
        </w:rPr>
        <w:t/>
      </w:r>
      <w:r>
        <w:rPr>
          <w:rFonts w:ascii="Arial" w:cs="Arial" w:eastAsia="Arial" w:hAnsi="Arial"/>
          <w:sz w:val="15"/>
          <w:szCs w:val="15"/>
          <w:color w:val="FFFFFF"/>
        </w:rPr>
        <w:t>ǣȇ</w:t>
      </w:r>
      <w:r>
        <w:rPr>
          <w:rFonts w:ascii="PMingLiU" w:cs="PMingLiU" w:eastAsia="PMingLiU" w:hAnsi="PMingLiU"/>
          <w:sz w:val="15"/>
          <w:szCs w:val="15"/>
          <w:color w:val="FFFFFF"/>
        </w:rPr>
        <w:t/>
      </w:r>
      <w:r>
        <w:rPr>
          <w:rFonts w:ascii="Arial" w:cs="Arial" w:eastAsia="Arial" w:hAnsi="Arial"/>
          <w:sz w:val="15"/>
          <w:szCs w:val="15"/>
          <w:color w:val="FFFFFF"/>
        </w:rPr>
        <w:t>ǝƏȸƳɯƏȸƺً</w:t>
      </w:r>
      <w:r>
        <w:rPr>
          <w:rFonts w:ascii="PMingLiU" w:cs="PMingLiU" w:eastAsia="PMingLiU" w:hAnsi="PMingLiU"/>
          <w:sz w:val="15"/>
          <w:szCs w:val="15"/>
          <w:color w:val="FFFFFF"/>
        </w:rPr>
        <w:t/>
      </w:r>
      <w:r>
        <w:rPr>
          <w:rFonts w:ascii="Arial" w:cs="Arial" w:eastAsia="Arial" w:hAnsi="Arial"/>
          <w:sz w:val="15"/>
          <w:szCs w:val="15"/>
          <w:color w:val="FFFFFF"/>
        </w:rPr>
        <w:t>ɀȒǔɎɯƏȸƺ</w:t>
      </w:r>
      <w:r>
        <w:rPr>
          <w:rFonts w:ascii="PMingLiU" w:cs="PMingLiU" w:eastAsia="PMingLiU" w:hAnsi="PMingLiU"/>
          <w:sz w:val="15"/>
          <w:szCs w:val="15"/>
          <w:color w:val="FFFFFF"/>
        </w:rPr>
        <w:t/>
      </w:r>
      <w:r>
        <w:rPr>
          <w:rFonts w:ascii="Arial" w:cs="Arial" w:eastAsia="Arial" w:hAnsi="Arial"/>
          <w:sz w:val="15"/>
          <w:szCs w:val="15"/>
          <w:color w:val="FFFFFF"/>
        </w:rPr>
        <w:t>ƏȇƳ</w:t>
      </w:r>
      <w:r>
        <w:rPr>
          <w:rFonts w:ascii="PMingLiU" w:cs="PMingLiU" w:eastAsia="PMingLiU" w:hAnsi="PMingLiU"/>
          <w:sz w:val="15"/>
          <w:szCs w:val="15"/>
          <w:color w:val="FFFFFF"/>
        </w:rPr>
        <w:t/>
      </w:r>
      <w:r>
        <w:rPr>
          <w:rFonts w:ascii="Arial" w:cs="Arial" w:eastAsia="Arial" w:hAnsi="Arial"/>
          <w:sz w:val="15"/>
          <w:szCs w:val="15"/>
          <w:color w:val="FFFFFF"/>
        </w:rPr>
        <w:t>ƏǼǕȒȸǣɎǝȅɀ</w:t>
      </w:r>
      <w:r>
        <w:rPr>
          <w:rFonts w:ascii="PMingLiU" w:cs="PMingLiU" w:eastAsia="PMingLiU" w:hAnsi="PMingLiU"/>
          <w:sz w:val="15"/>
          <w:szCs w:val="15"/>
          <w:color w:val="FFFFFF"/>
        </w:rPr>
        <w:t/>
      </w:r>
      <w:r>
        <w:rPr>
          <w:rFonts w:ascii="Arial" w:cs="Arial" w:eastAsia="Arial" w:hAnsi="Arial"/>
          <w:sz w:val="15"/>
          <w:szCs w:val="15"/>
          <w:color w:val="FFFFFF"/>
        </w:rPr>
        <w:t>ƳƺɮƺǼȒȵȅƺȇɎً</w:t>
      </w:r>
      <w:r>
        <w:rPr>
          <w:rFonts w:ascii="PMingLiU" w:cs="PMingLiU" w:eastAsia="PMingLiU" w:hAnsi="PMingLiU"/>
          <w:sz w:val="15"/>
          <w:szCs w:val="15"/>
          <w:color w:val="FFFFFF"/>
        </w:rPr>
        <w:t/>
      </w:r>
      <w:r>
        <w:rPr>
          <w:rFonts w:ascii="Arial" w:cs="Arial" w:eastAsia="Arial" w:hAnsi="Arial"/>
          <w:sz w:val="15"/>
          <w:szCs w:val="15"/>
          <w:color w:val="FFFFFF"/>
        </w:rPr>
        <w:t xml:space="preserve"> </w:t>
      </w:r>
      <w:r>
        <w:rPr>
          <w:rFonts w:ascii="Arial" w:cs="Arial" w:eastAsia="Arial" w:hAnsi="Arial"/>
          <w:sz w:val="15"/>
          <w:szCs w:val="15"/>
          <w:color w:val="FFFFFF"/>
        </w:rPr>
        <w:t xml:space="preserve">and we have been encouraged by the pace of progress. Beyond its potential applications in retinal </w:t>
      </w:r>
      <w:r>
        <w:rPr>
          <w:rFonts w:ascii="Arial" w:cs="Arial" w:eastAsia="Arial" w:hAnsi="Arial"/>
          <w:sz w:val="15"/>
          <w:szCs w:val="15"/>
          <w:color w:val="FFFFFF"/>
        </w:rPr>
        <w:t>ƳǣɀƺƏɀƺ</w:t>
      </w:r>
      <w:r>
        <w:rPr>
          <w:rFonts w:ascii="PMingLiU" w:cs="PMingLiU" w:eastAsia="PMingLiU" w:hAnsi="PMingLiU"/>
          <w:sz w:val="15"/>
          <w:szCs w:val="15"/>
          <w:color w:val="FFFFFF"/>
        </w:rPr>
        <w:t/>
      </w:r>
      <w:r>
        <w:rPr>
          <w:rFonts w:ascii="Arial" w:cs="Arial" w:eastAsia="Arial" w:hAnsi="Arial"/>
          <w:sz w:val="15"/>
          <w:szCs w:val="15"/>
          <w:color w:val="FFFFFF"/>
        </w:rPr>
        <w:t>ȅƺƏɀɖȸƺȅƺȇɎ</w:t>
      </w:r>
      <w:r>
        <w:rPr>
          <w:rFonts w:ascii="PMingLiU" w:cs="PMingLiU" w:eastAsia="PMingLiU" w:hAnsi="PMingLiU"/>
          <w:sz w:val="15"/>
          <w:szCs w:val="15"/>
          <w:color w:val="FFFFFF"/>
        </w:rPr>
        <w:t/>
      </w:r>
      <w:r>
        <w:rPr>
          <w:rFonts w:ascii="Arial" w:cs="Arial" w:eastAsia="Arial" w:hAnsi="Arial"/>
          <w:sz w:val="15"/>
          <w:szCs w:val="15"/>
          <w:color w:val="FFFFFF"/>
        </w:rPr>
        <w:t>ƏȇƳ</w:t>
      </w:r>
      <w:r>
        <w:rPr>
          <w:rFonts w:ascii="PMingLiU" w:cs="PMingLiU" w:eastAsia="PMingLiU" w:hAnsi="PMingLiU"/>
          <w:sz w:val="15"/>
          <w:szCs w:val="15"/>
          <w:color w:val="FFFFFF"/>
        </w:rPr>
        <w:t/>
      </w:r>
      <w:r>
        <w:rPr>
          <w:rFonts w:ascii="Arial" w:cs="Arial" w:eastAsia="Arial" w:hAnsi="Arial"/>
          <w:sz w:val="15"/>
          <w:szCs w:val="15"/>
          <w:color w:val="FFFFFF"/>
        </w:rPr>
        <w:t>ƬƏȸƺ</w:t>
      </w:r>
      <w:r>
        <w:rPr>
          <w:rFonts w:ascii="PMingLiU" w:cs="PMingLiU" w:eastAsia="PMingLiU" w:hAnsi="PMingLiU"/>
          <w:sz w:val="15"/>
          <w:szCs w:val="15"/>
          <w:color w:val="FFFFFF"/>
        </w:rPr>
        <w:t/>
      </w:r>
      <w:r>
        <w:rPr>
          <w:rFonts w:ascii="Arial" w:cs="Arial" w:eastAsia="Arial" w:hAnsi="Arial"/>
          <w:sz w:val="15"/>
          <w:szCs w:val="15"/>
          <w:color w:val="FFFFFF"/>
        </w:rPr>
        <w:t>ƳƺǼǣɮƺȸɵً</w:t>
      </w:r>
      <w:r>
        <w:rPr>
          <w:rFonts w:ascii="PMingLiU" w:cs="PMingLiU" w:eastAsia="PMingLiU" w:hAnsi="PMingLiU"/>
          <w:sz w:val="15"/>
          <w:szCs w:val="15"/>
          <w:color w:val="FFFFFF"/>
        </w:rPr>
        <w:t/>
      </w:r>
      <w:r>
        <w:rPr>
          <w:rFonts w:ascii="Arial" w:cs="Arial" w:eastAsia="Arial" w:hAnsi="Arial"/>
          <w:sz w:val="15"/>
          <w:szCs w:val="15"/>
          <w:color w:val="FFFFFF"/>
        </w:rPr>
        <w:t>ɯƺ</w:t>
      </w:r>
      <w:r>
        <w:rPr>
          <w:rFonts w:ascii="PMingLiU" w:cs="PMingLiU" w:eastAsia="PMingLiU" w:hAnsi="PMingLiU"/>
          <w:sz w:val="15"/>
          <w:szCs w:val="15"/>
          <w:color w:val="FFFFFF"/>
        </w:rPr>
        <w:t/>
      </w:r>
      <w:r>
        <w:rPr>
          <w:rFonts w:ascii="Arial" w:cs="Arial" w:eastAsia="Arial" w:hAnsi="Arial"/>
          <w:sz w:val="15"/>
          <w:szCs w:val="15"/>
          <w:color w:val="FFFFFF"/>
        </w:rPr>
        <w:t>ǝƏɮƺ</w:t>
      </w:r>
      <w:r>
        <w:rPr>
          <w:rFonts w:ascii="PMingLiU" w:cs="PMingLiU" w:eastAsia="PMingLiU" w:hAnsi="PMingLiU"/>
          <w:sz w:val="15"/>
          <w:szCs w:val="15"/>
          <w:color w:val="FFFFFF"/>
        </w:rPr>
        <w:t/>
      </w:r>
      <w:r>
        <w:rPr>
          <w:rFonts w:ascii="Arial" w:cs="Arial" w:eastAsia="Arial" w:hAnsi="Arial"/>
          <w:sz w:val="15"/>
          <w:szCs w:val="15"/>
          <w:color w:val="FFFFFF"/>
        </w:rPr>
        <w:t>ƫƺǕɖȇ</w:t>
      </w:r>
      <w:r>
        <w:rPr>
          <w:rFonts w:ascii="PMingLiU" w:cs="PMingLiU" w:eastAsia="PMingLiU" w:hAnsi="PMingLiU"/>
          <w:sz w:val="15"/>
          <w:szCs w:val="15"/>
          <w:color w:val="FFFFFF"/>
        </w:rPr>
        <w:t/>
      </w:r>
      <w:r>
        <w:rPr>
          <w:rFonts w:ascii="Arial" w:cs="Arial" w:eastAsia="Arial" w:hAnsi="Arial"/>
          <w:sz w:val="15"/>
          <w:szCs w:val="15"/>
          <w:color w:val="FFFFFF"/>
        </w:rPr>
        <w:t>ƺɴȵǼȒȸǣȇǕ</w:t>
      </w:r>
      <w:r>
        <w:rPr>
          <w:rFonts w:ascii="PMingLiU" w:cs="PMingLiU" w:eastAsia="PMingLiU" w:hAnsi="PMingLiU"/>
          <w:sz w:val="15"/>
          <w:szCs w:val="15"/>
          <w:color w:val="FFFFFF"/>
        </w:rPr>
        <w:t/>
      </w:r>
      <w:r>
        <w:rPr>
          <w:rFonts w:ascii="Arial" w:cs="Arial" w:eastAsia="Arial" w:hAnsi="Arial"/>
          <w:sz w:val="15"/>
          <w:szCs w:val="15"/>
          <w:color w:val="FFFFFF"/>
        </w:rPr>
        <w:t>ƫȸȒƏƳƺȸ</w:t>
      </w:r>
      <w:r>
        <w:rPr>
          <w:rFonts w:ascii="PMingLiU" w:cs="PMingLiU" w:eastAsia="PMingLiU" w:hAnsi="PMingLiU"/>
          <w:sz w:val="15"/>
          <w:szCs w:val="15"/>
          <w:color w:val="FFFFFF"/>
        </w:rPr>
        <w:t/>
      </w:r>
      <w:r>
        <w:rPr>
          <w:rFonts w:ascii="Arial" w:cs="Arial" w:eastAsia="Arial" w:hAnsi="Arial"/>
          <w:sz w:val="15"/>
          <w:szCs w:val="15"/>
          <w:color w:val="FFFFFF"/>
        </w:rPr>
        <w:t>ɖɀƺɀ</w:t>
      </w:r>
      <w:r>
        <w:rPr>
          <w:rFonts w:ascii="PMingLiU" w:cs="PMingLiU" w:eastAsia="PMingLiU" w:hAnsi="PMingLiU"/>
          <w:sz w:val="15"/>
          <w:szCs w:val="15"/>
          <w:color w:val="FFFFFF"/>
        </w:rPr>
        <w:t/>
      </w:r>
      <w:r>
        <w:rPr>
          <w:rFonts w:ascii="Arial" w:cs="Arial" w:eastAsia="Arial" w:hAnsi="Arial"/>
          <w:sz w:val="15"/>
          <w:szCs w:val="15"/>
          <w:color w:val="FFFFFF"/>
        </w:rPr>
        <w:t>Ȓǔ</w:t>
      </w:r>
      <w:r>
        <w:rPr>
          <w:rFonts w:ascii="PMingLiU" w:cs="PMingLiU" w:eastAsia="PMingLiU" w:hAnsi="PMingLiU"/>
          <w:sz w:val="15"/>
          <w:szCs w:val="15"/>
          <w:color w:val="FFFFFF"/>
        </w:rPr>
        <w:t/>
      </w:r>
      <w:r>
        <w:rPr>
          <w:rFonts w:ascii="Arial" w:cs="Arial" w:eastAsia="Arial" w:hAnsi="Arial"/>
          <w:sz w:val="15"/>
          <w:szCs w:val="15"/>
          <w:color w:val="FFFFFF"/>
        </w:rPr>
        <w:t>Ɏǝƺ</w:t>
      </w:r>
      <w:r>
        <w:rPr>
          <w:rFonts w:ascii="PMingLiU" w:cs="PMingLiU" w:eastAsia="PMingLiU" w:hAnsi="PMingLiU"/>
          <w:sz w:val="15"/>
          <w:szCs w:val="15"/>
          <w:color w:val="FFFFFF"/>
        </w:rPr>
        <w:t/>
      </w:r>
      <w:r>
        <w:rPr>
          <w:rFonts w:ascii="Arial" w:cs="Arial" w:eastAsia="Arial" w:hAnsi="Arial"/>
          <w:sz w:val="15"/>
          <w:szCs w:val="15"/>
          <w:color w:val="FFFFFF"/>
        </w:rPr>
        <w:t>à0Áǣ</w:t>
      </w:r>
      <w:r>
        <w:rPr>
          <w:rFonts w:ascii="PMingLiU" w:cs="PMingLiU" w:eastAsia="PMingLiU" w:hAnsi="PMingLiU"/>
          <w:sz w:val="15"/>
          <w:szCs w:val="15"/>
          <w:color w:val="FFFFFF"/>
        </w:rPr>
        <w:t/>
      </w:r>
      <w:r>
        <w:rPr>
          <w:rFonts w:ascii="Arial" w:cs="Arial" w:eastAsia="Arial" w:hAnsi="Arial"/>
          <w:sz w:val="15"/>
          <w:szCs w:val="15"/>
          <w:color w:val="FFFFFF"/>
        </w:rPr>
        <w:t>ɎƺƬǝȇȒǼȒǕɵ</w:t>
      </w:r>
      <w:r>
        <w:rPr>
          <w:rFonts w:ascii="PMingLiU" w:cs="PMingLiU" w:eastAsia="PMingLiU" w:hAnsi="PMingLiU"/>
          <w:sz w:val="15"/>
          <w:szCs w:val="15"/>
          <w:color w:val="FFFFFF"/>
        </w:rPr>
        <w:t/>
      </w:r>
      <w:r>
        <w:rPr>
          <w:rFonts w:ascii="Arial" w:cs="Arial" w:eastAsia="Arial" w:hAnsi="Arial"/>
          <w:sz w:val="15"/>
          <w:szCs w:val="15"/>
          <w:color w:val="FFFFFF"/>
        </w:rPr>
        <w:t xml:space="preserve"> </w:t>
      </w:r>
      <w:r>
        <w:rPr>
          <w:rFonts w:ascii="Arial" w:cs="Arial" w:eastAsia="Arial" w:hAnsi="Arial"/>
          <w:sz w:val="15"/>
          <w:szCs w:val="15"/>
          <w:color w:val="FFFFFF"/>
        </w:rPr>
        <w:t xml:space="preserve">—including identity security and cognitive science— where early prototype development has been </w:t>
      </w:r>
      <w:r>
        <w:rPr>
          <w:rFonts w:ascii="Arial" w:cs="Arial" w:eastAsia="Arial" w:hAnsi="Arial"/>
          <w:sz w:val="15"/>
          <w:szCs w:val="15"/>
          <w:color w:val="FFFFFF"/>
        </w:rPr>
        <w:t>ȵȸȒȅǣɀǣȇǕِ</w:t>
      </w:r>
      <w:r>
        <w:rPr>
          <w:rFonts w:ascii="PMingLiU" w:cs="PMingLiU" w:eastAsia="PMingLiU" w:hAnsi="PMingLiU"/>
          <w:sz w:val="15"/>
          <w:szCs w:val="15"/>
          <w:color w:val="FFFFFF"/>
        </w:rPr>
        <w:t/>
      </w:r>
      <w:r>
        <w:rPr>
          <w:rFonts w:ascii="Arial" w:cs="Arial" w:eastAsia="Arial" w:hAnsi="Arial"/>
          <w:sz w:val="15"/>
          <w:szCs w:val="15"/>
          <w:color w:val="FFFFFF"/>
        </w:rPr>
        <w:t xml:space="preserve"> áǝǣǼƺ</w:t>
      </w:r>
      <w:r>
        <w:rPr>
          <w:rFonts w:ascii="PMingLiU" w:cs="PMingLiU" w:eastAsia="PMingLiU" w:hAnsi="PMingLiU"/>
          <w:sz w:val="15"/>
          <w:szCs w:val="15"/>
          <w:color w:val="FFFFFF"/>
        </w:rPr>
        <w:t/>
      </w:r>
      <w:r>
        <w:rPr>
          <w:rFonts w:ascii="Arial" w:cs="Arial" w:eastAsia="Arial" w:hAnsi="Arial"/>
          <w:sz w:val="15"/>
          <w:szCs w:val="15"/>
          <w:color w:val="FFFFFF"/>
        </w:rPr>
        <w:t xml:space="preserve"> Ɏǝƺ</w:t>
      </w:r>
      <w:r>
        <w:rPr>
          <w:rFonts w:ascii="PMingLiU" w:cs="PMingLiU" w:eastAsia="PMingLiU" w:hAnsi="PMingLiU"/>
          <w:sz w:val="15"/>
          <w:szCs w:val="15"/>
          <w:color w:val="FFFFFF"/>
        </w:rPr>
        <w:t/>
      </w:r>
      <w:r>
        <w:rPr>
          <w:rFonts w:ascii="Arial" w:cs="Arial" w:eastAsia="Arial" w:hAnsi="Arial"/>
          <w:sz w:val="15"/>
          <w:szCs w:val="15"/>
          <w:color w:val="FFFFFF"/>
        </w:rPr>
        <w:t xml:space="preserve"> ǔɖǼǼ</w:t>
      </w:r>
      <w:r>
        <w:rPr>
          <w:rFonts w:ascii="PMingLiU" w:cs="PMingLiU" w:eastAsia="PMingLiU" w:hAnsi="PMingLiU"/>
          <w:sz w:val="15"/>
          <w:szCs w:val="15"/>
          <w:color w:val="FFFFFF"/>
        </w:rPr>
        <w:t/>
      </w:r>
      <w:r>
        <w:rPr>
          <w:rFonts w:ascii="Arial" w:cs="Arial" w:eastAsia="Arial" w:hAnsi="Arial"/>
          <w:sz w:val="15"/>
          <w:szCs w:val="15"/>
          <w:color w:val="FFFFFF"/>
        </w:rPr>
        <w:t xml:space="preserve"> ɀƬȒȵƺ</w:t>
      </w:r>
      <w:r>
        <w:rPr>
          <w:rFonts w:ascii="PMingLiU" w:cs="PMingLiU" w:eastAsia="PMingLiU" w:hAnsi="PMingLiU"/>
          <w:sz w:val="15"/>
          <w:szCs w:val="15"/>
          <w:color w:val="FFFFFF"/>
        </w:rPr>
        <w:t/>
      </w:r>
      <w:r>
        <w:rPr>
          <w:rFonts w:ascii="Arial" w:cs="Arial" w:eastAsia="Arial" w:hAnsi="Arial"/>
          <w:sz w:val="15"/>
          <w:szCs w:val="15"/>
          <w:color w:val="FFFFFF"/>
        </w:rPr>
        <w:t xml:space="preserve"> Ȓǔ</w:t>
      </w:r>
      <w:r>
        <w:rPr>
          <w:rFonts w:ascii="PMingLiU" w:cs="PMingLiU" w:eastAsia="PMingLiU" w:hAnsi="PMingLiU"/>
          <w:sz w:val="15"/>
          <w:szCs w:val="15"/>
          <w:color w:val="FFFFFF"/>
        </w:rPr>
        <w:t/>
      </w:r>
      <w:r>
        <w:rPr>
          <w:rFonts w:ascii="Arial" w:cs="Arial" w:eastAsia="Arial" w:hAnsi="Arial"/>
          <w:sz w:val="15"/>
          <w:szCs w:val="15"/>
          <w:color w:val="FFFFFF"/>
        </w:rPr>
        <w:t xml:space="preserve"> à0Áǣټɀ</w:t>
      </w:r>
      <w:r>
        <w:rPr>
          <w:rFonts w:ascii="PMingLiU" w:cs="PMingLiU" w:eastAsia="PMingLiU" w:hAnsi="PMingLiU"/>
          <w:sz w:val="15"/>
          <w:szCs w:val="15"/>
          <w:color w:val="FFFFFF"/>
        </w:rPr>
        <w:t/>
      </w:r>
      <w:r>
        <w:rPr>
          <w:rFonts w:ascii="Arial" w:cs="Arial" w:eastAsia="Arial" w:hAnsi="Arial"/>
          <w:sz w:val="15"/>
          <w:szCs w:val="15"/>
          <w:color w:val="FFFFFF"/>
        </w:rPr>
        <w:t xml:space="preserve"> ƏȵȵǼǣƬƏɎǣȒȇ</w:t>
      </w:r>
      <w:r>
        <w:rPr>
          <w:rFonts w:ascii="PMingLiU" w:cs="PMingLiU" w:eastAsia="PMingLiU" w:hAnsi="PMingLiU"/>
          <w:sz w:val="15"/>
          <w:szCs w:val="15"/>
          <w:color w:val="FFFFFF"/>
        </w:rPr>
        <w:t/>
      </w:r>
      <w:r>
        <w:rPr>
          <w:rFonts w:ascii="Arial" w:cs="Arial" w:eastAsia="Arial" w:hAnsi="Arial"/>
          <w:sz w:val="15"/>
          <w:szCs w:val="15"/>
          <w:color w:val="FFFFFF"/>
        </w:rPr>
        <w:t xml:space="preserve"> ȸƺȅƏǣȇɀ</w:t>
      </w:r>
      <w:r>
        <w:rPr>
          <w:rFonts w:ascii="PMingLiU" w:cs="PMingLiU" w:eastAsia="PMingLiU" w:hAnsi="PMingLiU"/>
          <w:sz w:val="15"/>
          <w:szCs w:val="15"/>
          <w:color w:val="FFFFFF"/>
        </w:rPr>
        <w:t/>
      </w:r>
      <w:r>
        <w:rPr>
          <w:rFonts w:ascii="Arial" w:cs="Arial" w:eastAsia="Arial" w:hAnsi="Arial"/>
          <w:sz w:val="15"/>
          <w:szCs w:val="15"/>
          <w:color w:val="FFFFFF"/>
        </w:rPr>
        <w:t xml:space="preserve"> Əȇ</w:t>
      </w:r>
      <w:r>
        <w:rPr>
          <w:rFonts w:ascii="PMingLiU" w:cs="PMingLiU" w:eastAsia="PMingLiU" w:hAnsi="PMingLiU"/>
          <w:sz w:val="15"/>
          <w:szCs w:val="15"/>
          <w:color w:val="FFFFFF"/>
        </w:rPr>
        <w:t/>
      </w:r>
      <w:r>
        <w:rPr>
          <w:rFonts w:ascii="Arial" w:cs="Arial" w:eastAsia="Arial" w:hAnsi="Arial"/>
          <w:sz w:val="15"/>
          <w:szCs w:val="15"/>
          <w:color w:val="FFFFFF"/>
        </w:rPr>
        <w:t xml:space="preserve"> ƏȸƺƏ</w:t>
      </w:r>
      <w:r>
        <w:rPr>
          <w:rFonts w:ascii="PMingLiU" w:cs="PMingLiU" w:eastAsia="PMingLiU" w:hAnsi="PMingLiU"/>
          <w:sz w:val="15"/>
          <w:szCs w:val="15"/>
          <w:color w:val="FFFFFF"/>
        </w:rPr>
        <w:t/>
      </w:r>
      <w:r>
        <w:rPr>
          <w:rFonts w:ascii="Arial" w:cs="Arial" w:eastAsia="Arial" w:hAnsi="Arial"/>
          <w:sz w:val="15"/>
          <w:szCs w:val="15"/>
          <w:color w:val="FFFFFF"/>
        </w:rPr>
        <w:t xml:space="preserve"> Ȓǔ</w:t>
      </w:r>
      <w:r>
        <w:rPr>
          <w:rFonts w:ascii="PMingLiU" w:cs="PMingLiU" w:eastAsia="PMingLiU" w:hAnsi="PMingLiU"/>
          <w:sz w:val="15"/>
          <w:szCs w:val="15"/>
          <w:color w:val="FFFFFF"/>
        </w:rPr>
        <w:t/>
      </w:r>
      <w:r>
        <w:rPr>
          <w:rFonts w:ascii="Arial" w:cs="Arial" w:eastAsia="Arial" w:hAnsi="Arial"/>
          <w:sz w:val="15"/>
          <w:szCs w:val="15"/>
          <w:color w:val="FFFFFF"/>
        </w:rPr>
        <w:t xml:space="preserve"> ƏƬɎǣɮƺ</w:t>
      </w:r>
      <w:r>
        <w:rPr>
          <w:rFonts w:ascii="PMingLiU" w:cs="PMingLiU" w:eastAsia="PMingLiU" w:hAnsi="PMingLiU"/>
          <w:sz w:val="15"/>
          <w:szCs w:val="15"/>
          <w:color w:val="FFFFFF"/>
        </w:rPr>
        <w:t/>
      </w:r>
      <w:r>
        <w:rPr>
          <w:rFonts w:ascii="Arial" w:cs="Arial" w:eastAsia="Arial" w:hAnsi="Arial"/>
          <w:sz w:val="15"/>
          <w:szCs w:val="15"/>
          <w:color w:val="FFFFFF"/>
        </w:rPr>
        <w:t xml:space="preserve"> ƳǣɀƬȒɮƺȸɵً</w:t>
      </w:r>
      <w:r>
        <w:rPr>
          <w:rFonts w:ascii="PMingLiU" w:cs="PMingLiU" w:eastAsia="PMingLiU" w:hAnsi="PMingLiU"/>
          <w:sz w:val="15"/>
          <w:szCs w:val="15"/>
          <w:color w:val="FFFFFF"/>
        </w:rPr>
        <w:t/>
      </w:r>
      <w:r>
        <w:rPr>
          <w:rFonts w:ascii="Arial" w:cs="Arial" w:eastAsia="Arial" w:hAnsi="Arial"/>
          <w:sz w:val="15"/>
          <w:szCs w:val="15"/>
          <w:color w:val="FFFFFF"/>
        </w:rPr>
        <w:t xml:space="preserve"> ɯƺ</w:t>
      </w:r>
      <w:r>
        <w:rPr>
          <w:rFonts w:ascii="PMingLiU" w:cs="PMingLiU" w:eastAsia="PMingLiU" w:hAnsi="PMingLiU"/>
          <w:sz w:val="15"/>
          <w:szCs w:val="15"/>
          <w:color w:val="FFFFFF"/>
        </w:rPr>
        <w:t/>
      </w:r>
      <w:r>
        <w:rPr>
          <w:rFonts w:ascii="Arial" w:cs="Arial" w:eastAsia="Arial" w:hAnsi="Arial"/>
          <w:sz w:val="15"/>
          <w:szCs w:val="15"/>
          <w:color w:val="FFFFFF"/>
        </w:rPr>
        <w:t xml:space="preserve"> Əȸƺ</w:t>
      </w:r>
      <w:r>
        <w:rPr>
          <w:rFonts w:ascii="PMingLiU" w:cs="PMingLiU" w:eastAsia="PMingLiU" w:hAnsi="PMingLiU"/>
          <w:sz w:val="15"/>
          <w:szCs w:val="15"/>
          <w:color w:val="FFFFFF"/>
        </w:rPr>
        <w:t/>
      </w:r>
      <w:r>
        <w:rPr>
          <w:rFonts w:ascii="Arial" w:cs="Arial" w:eastAsia="Arial" w:hAnsi="Arial"/>
          <w:sz w:val="15"/>
          <w:szCs w:val="15"/>
          <w:color w:val="FFFFFF"/>
        </w:rPr>
        <w:t xml:space="preserve"> ǣȇƬȸƺƏɀǣȇǕǼɵ</w:t>
      </w:r>
      <w:r>
        <w:rPr>
          <w:rFonts w:ascii="PMingLiU" w:cs="PMingLiU" w:eastAsia="PMingLiU" w:hAnsi="PMingLiU"/>
          <w:sz w:val="15"/>
          <w:szCs w:val="15"/>
          <w:color w:val="FFFFFF"/>
        </w:rPr>
        <w:t/>
      </w:r>
      <w:r>
        <w:rPr>
          <w:rFonts w:ascii="Arial" w:cs="Arial" w:eastAsia="Arial" w:hAnsi="Arial"/>
          <w:sz w:val="15"/>
          <w:szCs w:val="15"/>
          <w:color w:val="FFFFFF"/>
        </w:rPr>
        <w:t>ƬȒȇˡƳƺȇɎ</w:t>
      </w:r>
      <w:r>
        <w:rPr>
          <w:rFonts w:ascii="PMingLiU" w:cs="PMingLiU" w:eastAsia="PMingLiU" w:hAnsi="PMingLiU"/>
          <w:sz w:val="15"/>
          <w:szCs w:val="15"/>
          <w:color w:val="FFFFFF"/>
        </w:rPr>
        <w:t/>
      </w:r>
      <w:r>
        <w:rPr>
          <w:rFonts w:ascii="Arial" w:cs="Arial" w:eastAsia="Arial" w:hAnsi="Arial"/>
          <w:sz w:val="15"/>
          <w:szCs w:val="15"/>
          <w:color w:val="FFFFFF"/>
        </w:rPr>
        <w:t>ɎǝƏɎ</w:t>
      </w:r>
      <w:r>
        <w:rPr>
          <w:rFonts w:ascii="PMingLiU" w:cs="PMingLiU" w:eastAsia="PMingLiU" w:hAnsi="PMingLiU"/>
          <w:sz w:val="15"/>
          <w:szCs w:val="15"/>
          <w:color w:val="FFFFFF"/>
        </w:rPr>
        <w:t/>
      </w:r>
      <w:r>
        <w:rPr>
          <w:rFonts w:ascii="Arial" w:cs="Arial" w:eastAsia="Arial" w:hAnsi="Arial"/>
          <w:sz w:val="15"/>
          <w:szCs w:val="15"/>
          <w:color w:val="FFFFFF"/>
        </w:rPr>
        <w:t>kȒƳǣƏǸټɀ</w:t>
      </w:r>
      <w:r>
        <w:rPr>
          <w:rFonts w:ascii="PMingLiU" w:cs="PMingLiU" w:eastAsia="PMingLiU" w:hAnsi="PMingLiU"/>
          <w:sz w:val="15"/>
          <w:szCs w:val="15"/>
          <w:color w:val="FFFFFF"/>
        </w:rPr>
        <w:t/>
      </w:r>
      <w:r>
        <w:rPr>
          <w:rFonts w:ascii="Arial" w:cs="Arial" w:eastAsia="Arial" w:hAnsi="Arial"/>
          <w:sz w:val="15"/>
          <w:szCs w:val="15"/>
          <w:color w:val="FFFFFF"/>
        </w:rPr>
        <w:t>ȵȒɀǣɎǣȒȇ</w:t>
      </w:r>
      <w:r>
        <w:rPr>
          <w:rFonts w:ascii="PMingLiU" w:cs="PMingLiU" w:eastAsia="PMingLiU" w:hAnsi="PMingLiU"/>
          <w:sz w:val="15"/>
          <w:szCs w:val="15"/>
          <w:color w:val="FFFFFF"/>
        </w:rPr>
        <w:t/>
      </w:r>
      <w:r>
        <w:rPr>
          <w:rFonts w:ascii="Arial" w:cs="Arial" w:eastAsia="Arial" w:hAnsi="Arial"/>
          <w:sz w:val="15"/>
          <w:szCs w:val="15"/>
          <w:color w:val="FFFFFF"/>
        </w:rPr>
        <w:t>ƏɎ</w:t>
      </w:r>
      <w:r>
        <w:rPr>
          <w:rFonts w:ascii="PMingLiU" w:cs="PMingLiU" w:eastAsia="PMingLiU" w:hAnsi="PMingLiU"/>
          <w:sz w:val="15"/>
          <w:szCs w:val="15"/>
          <w:color w:val="FFFFFF"/>
        </w:rPr>
        <w:t/>
      </w:r>
      <w:r>
        <w:rPr>
          <w:rFonts w:ascii="Arial" w:cs="Arial" w:eastAsia="Arial" w:hAnsi="Arial"/>
          <w:sz w:val="15"/>
          <w:szCs w:val="15"/>
          <w:color w:val="FFFFFF"/>
        </w:rPr>
        <w:t>Ɏǝƺ</w:t>
      </w:r>
      <w:r>
        <w:rPr>
          <w:rFonts w:ascii="PMingLiU" w:cs="PMingLiU" w:eastAsia="PMingLiU" w:hAnsi="PMingLiU"/>
          <w:sz w:val="15"/>
          <w:szCs w:val="15"/>
          <w:color w:val="FFFFFF"/>
        </w:rPr>
        <w:t/>
      </w:r>
      <w:r>
        <w:rPr>
          <w:rFonts w:ascii="Arial" w:cs="Arial" w:eastAsia="Arial" w:hAnsi="Arial"/>
          <w:sz w:val="15"/>
          <w:szCs w:val="15"/>
          <w:color w:val="FFFFFF"/>
        </w:rPr>
        <w:t>ǣȇɎƺȸɀƺƬɎǣȒȇ</w:t>
      </w:r>
      <w:r>
        <w:rPr>
          <w:rFonts w:ascii="PMingLiU" w:cs="PMingLiU" w:eastAsia="PMingLiU" w:hAnsi="PMingLiU"/>
          <w:sz w:val="15"/>
          <w:szCs w:val="15"/>
          <w:color w:val="FFFFFF"/>
        </w:rPr>
        <w:t/>
      </w:r>
      <w:r>
        <w:rPr>
          <w:rFonts w:ascii="Arial" w:cs="Arial" w:eastAsia="Arial" w:hAnsi="Arial"/>
          <w:sz w:val="15"/>
          <w:szCs w:val="15"/>
          <w:color w:val="FFFFFF"/>
        </w:rPr>
        <w:t>Ȓǔ</w:t>
      </w:r>
      <w:r>
        <w:rPr>
          <w:rFonts w:ascii="PMingLiU" w:cs="PMingLiU" w:eastAsia="PMingLiU" w:hAnsi="PMingLiU"/>
          <w:sz w:val="15"/>
          <w:szCs w:val="15"/>
          <w:color w:val="FFFFFF"/>
        </w:rPr>
        <w:t/>
      </w:r>
      <w:r>
        <w:rPr>
          <w:rFonts w:ascii="Arial" w:cs="Arial" w:eastAsia="Arial" w:hAnsi="Arial"/>
          <w:sz w:val="15"/>
          <w:szCs w:val="15"/>
          <w:color w:val="FFFFFF"/>
        </w:rPr>
        <w:t>ȸƺɎǣȇƏǼ</w:t>
      </w:r>
      <w:r>
        <w:rPr>
          <w:rFonts w:ascii="PMingLiU" w:cs="PMingLiU" w:eastAsia="PMingLiU" w:hAnsi="PMingLiU"/>
          <w:sz w:val="15"/>
          <w:szCs w:val="15"/>
          <w:color w:val="FFFFFF"/>
        </w:rPr>
        <w:t/>
      </w:r>
      <w:r>
        <w:rPr>
          <w:rFonts w:ascii="Arial" w:cs="Arial" w:eastAsia="Arial" w:hAnsi="Arial"/>
          <w:sz w:val="15"/>
          <w:szCs w:val="15"/>
          <w:color w:val="FFFFFF"/>
        </w:rPr>
        <w:t>ƫǣȒǼȒǕɵً</w:t>
      </w:r>
      <w:r>
        <w:rPr>
          <w:rFonts w:ascii="PMingLiU" w:cs="PMingLiU" w:eastAsia="PMingLiU" w:hAnsi="PMingLiU"/>
          <w:sz w:val="15"/>
          <w:szCs w:val="15"/>
          <w:color w:val="FFFFFF"/>
        </w:rPr>
        <w:t/>
      </w:r>
      <w:r>
        <w:rPr>
          <w:rFonts w:ascii="Arial" w:cs="Arial" w:eastAsia="Arial" w:hAnsi="Arial"/>
          <w:sz w:val="15"/>
          <w:szCs w:val="15"/>
          <w:color w:val="FFFFFF"/>
        </w:rPr>
        <w:t>ȒȵɎǣƬɀ</w:t>
      </w:r>
      <w:r>
        <w:rPr>
          <w:rFonts w:ascii="PMingLiU" w:cs="PMingLiU" w:eastAsia="PMingLiU" w:hAnsi="PMingLiU"/>
          <w:sz w:val="15"/>
          <w:szCs w:val="15"/>
          <w:color w:val="FFFFFF"/>
        </w:rPr>
        <w:t/>
      </w:r>
      <w:r>
        <w:rPr>
          <w:rFonts w:ascii="Arial" w:cs="Arial" w:eastAsia="Arial" w:hAnsi="Arial"/>
          <w:sz w:val="15"/>
          <w:szCs w:val="15"/>
          <w:color w:val="FFFFFF"/>
        </w:rPr>
        <w:t>ƏȇƳ</w:t>
      </w:r>
      <w:r>
        <w:rPr>
          <w:rFonts w:ascii="PMingLiU" w:cs="PMingLiU" w:eastAsia="PMingLiU" w:hAnsi="PMingLiU"/>
          <w:sz w:val="15"/>
          <w:szCs w:val="15"/>
          <w:color w:val="FFFFFF"/>
        </w:rPr>
        <w:t/>
      </w:r>
      <w:r>
        <w:rPr>
          <w:rFonts w:ascii="Arial" w:cs="Arial" w:eastAsia="Arial" w:hAnsi="Arial"/>
          <w:sz w:val="15"/>
          <w:szCs w:val="15"/>
          <w:color w:val="FFFFFF"/>
        </w:rPr>
        <w:t>ƏȸɎǣˡƬǣƏǼ</w:t>
      </w:r>
      <w:r>
        <w:rPr>
          <w:rFonts w:ascii="PMingLiU" w:cs="PMingLiU" w:eastAsia="PMingLiU" w:hAnsi="PMingLiU"/>
          <w:sz w:val="15"/>
          <w:szCs w:val="15"/>
          <w:color w:val="FFFFFF"/>
        </w:rPr>
        <w:t/>
      </w:r>
      <w:r>
        <w:rPr>
          <w:rFonts w:ascii="Arial" w:cs="Arial" w:eastAsia="Arial" w:hAnsi="Arial"/>
          <w:sz w:val="15"/>
          <w:szCs w:val="15"/>
          <w:color w:val="FFFFFF"/>
        </w:rPr>
        <w:t xml:space="preserve"> </w:t>
      </w:r>
      <w:r>
        <w:rPr>
          <w:rFonts w:ascii="Arial" w:cs="Arial" w:eastAsia="Arial" w:hAnsi="Arial"/>
          <w:sz w:val="15"/>
          <w:szCs w:val="15"/>
          <w:color w:val="FFFFFF"/>
        </w:rPr>
        <w:t>intelligence is a genuine source of differentiation.</w:t>
      </w:r>
    </w:p>
    <w:p>
      <w:pPr>
        <w:spacing w:after="0" w:line="280" w:lineRule="exact"/>
        <w:rPr>
          <w:sz w:val="20"/>
          <w:szCs w:val="20"/>
          <w:color w:val="auto"/>
        </w:rPr>
      </w:pPr>
    </w:p>
    <w:p>
      <w:pPr>
        <w:jc w:val="both"/>
        <w:ind w:right="20"/>
        <w:spacing w:after="0" w:line="383" w:lineRule="exact"/>
        <w:rPr>
          <w:sz w:val="20"/>
          <w:szCs w:val="20"/>
          <w:color w:val="auto"/>
        </w:rPr>
      </w:pPr>
      <w:r>
        <w:rPr>
          <w:rFonts w:ascii="Arial" w:cs="Arial" w:eastAsia="Arial" w:hAnsi="Arial"/>
          <w:sz w:val="16"/>
          <w:szCs w:val="16"/>
          <w:color w:val="FFFFFF"/>
        </w:rPr>
        <w:t>ÁƏǸƺȇ</w:t>
      </w:r>
      <w:r>
        <w:rPr>
          <w:rFonts w:ascii="PMingLiU" w:cs="PMingLiU" w:eastAsia="PMingLiU" w:hAnsi="PMingLiU"/>
          <w:sz w:val="16"/>
          <w:szCs w:val="16"/>
          <w:color w:val="FFFFFF"/>
        </w:rPr>
        <w:t/>
      </w:r>
      <w:r>
        <w:rPr>
          <w:rFonts w:ascii="Arial" w:cs="Arial" w:eastAsia="Arial" w:hAnsi="Arial"/>
          <w:sz w:val="16"/>
          <w:szCs w:val="16"/>
          <w:color w:val="FFFFFF"/>
        </w:rPr>
        <w:t>ɎȒǕƺɎǝƺȸً</w:t>
      </w:r>
      <w:r>
        <w:rPr>
          <w:rFonts w:ascii="PMingLiU" w:cs="PMingLiU" w:eastAsia="PMingLiU" w:hAnsi="PMingLiU"/>
          <w:sz w:val="16"/>
          <w:szCs w:val="16"/>
          <w:color w:val="FFFFFF"/>
        </w:rPr>
        <w:t/>
      </w:r>
      <w:r>
        <w:rPr>
          <w:rFonts w:ascii="Arial" w:cs="Arial" w:eastAsia="Arial" w:hAnsi="Arial"/>
          <w:sz w:val="16"/>
          <w:szCs w:val="16"/>
          <w:color w:val="FFFFFF"/>
        </w:rPr>
        <w:t>Ȓɖȸ</w:t>
      </w:r>
      <w:r>
        <w:rPr>
          <w:rFonts w:ascii="PMingLiU" w:cs="PMingLiU" w:eastAsia="PMingLiU" w:hAnsi="PMingLiU"/>
          <w:sz w:val="16"/>
          <w:szCs w:val="16"/>
          <w:color w:val="FFFFFF"/>
        </w:rPr>
        <w:t/>
      </w:r>
      <w:r>
        <w:rPr>
          <w:rFonts w:ascii="Arial" w:cs="Arial" w:eastAsia="Arial" w:hAnsi="Arial"/>
          <w:sz w:val="16"/>
          <w:szCs w:val="16"/>
          <w:color w:val="FFFFFF"/>
        </w:rPr>
        <w:t>ǼƏɎƺٮɀɎƏǕƺ</w:t>
      </w:r>
      <w:r>
        <w:rPr>
          <w:rFonts w:ascii="PMingLiU" w:cs="PMingLiU" w:eastAsia="PMingLiU" w:hAnsi="PMingLiU"/>
          <w:sz w:val="16"/>
          <w:szCs w:val="16"/>
          <w:color w:val="FFFFFF"/>
        </w:rPr>
        <w:t/>
      </w:r>
      <w:r>
        <w:rPr>
          <w:rFonts w:ascii="Arial" w:cs="Arial" w:eastAsia="Arial" w:hAnsi="Arial"/>
          <w:sz w:val="16"/>
          <w:szCs w:val="16"/>
          <w:color w:val="FFFFFF"/>
        </w:rPr>
        <w:t>ȵȒȸɎǔȒǼǣȒً</w:t>
      </w:r>
      <w:r>
        <w:rPr>
          <w:rFonts w:ascii="PMingLiU" w:cs="PMingLiU" w:eastAsia="PMingLiU" w:hAnsi="PMingLiU"/>
          <w:sz w:val="16"/>
          <w:szCs w:val="16"/>
          <w:color w:val="FFFFFF"/>
        </w:rPr>
        <w:t/>
      </w:r>
      <w:r>
        <w:rPr>
          <w:rFonts w:ascii="Arial" w:cs="Arial" w:eastAsia="Arial" w:hAnsi="Arial"/>
          <w:sz w:val="16"/>
          <w:szCs w:val="16"/>
          <w:color w:val="FFFFFF"/>
        </w:rPr>
        <w:t>Ȓɖȸ</w:t>
      </w:r>
      <w:r>
        <w:rPr>
          <w:rFonts w:ascii="PMingLiU" w:cs="PMingLiU" w:eastAsia="PMingLiU" w:hAnsi="PMingLiU"/>
          <w:sz w:val="16"/>
          <w:szCs w:val="16"/>
          <w:color w:val="FFFFFF"/>
        </w:rPr>
        <w:t/>
      </w:r>
      <w:r>
        <w:rPr>
          <w:rFonts w:ascii="Arial" w:cs="Arial" w:eastAsia="Arial" w:hAnsi="Arial"/>
          <w:sz w:val="16"/>
          <w:szCs w:val="16"/>
          <w:color w:val="FFFFFF"/>
        </w:rPr>
        <w:t>ƺȅƺȸǕǣȇǕ</w:t>
      </w:r>
      <w:r>
        <w:rPr>
          <w:rFonts w:ascii="PMingLiU" w:cs="PMingLiU" w:eastAsia="PMingLiU" w:hAnsi="PMingLiU"/>
          <w:sz w:val="16"/>
          <w:szCs w:val="16"/>
          <w:color w:val="FFFFFF"/>
        </w:rPr>
        <w:t/>
      </w:r>
      <w:r>
        <w:rPr>
          <w:rFonts w:ascii="Arial" w:cs="Arial" w:eastAsia="Arial" w:hAnsi="Arial"/>
          <w:sz w:val="16"/>
          <w:szCs w:val="16"/>
          <w:color w:val="FFFFFF"/>
        </w:rPr>
        <w:t>ȵǣȵƺǼǣȇƺ</w:t>
      </w:r>
      <w:r>
        <w:rPr>
          <w:rFonts w:ascii="PMingLiU" w:cs="PMingLiU" w:eastAsia="PMingLiU" w:hAnsi="PMingLiU"/>
          <w:sz w:val="16"/>
          <w:szCs w:val="16"/>
          <w:color w:val="FFFFFF"/>
        </w:rPr>
        <w:t/>
      </w:r>
      <w:r>
        <w:rPr>
          <w:rFonts w:ascii="Arial" w:cs="Arial" w:eastAsia="Arial" w:hAnsi="Arial"/>
          <w:sz w:val="16"/>
          <w:szCs w:val="16"/>
          <w:color w:val="FFFFFF"/>
        </w:rPr>
        <w:t>ƏȇƳ</w:t>
      </w:r>
      <w:r>
        <w:rPr>
          <w:rFonts w:ascii="PMingLiU" w:cs="PMingLiU" w:eastAsia="PMingLiU" w:hAnsi="PMingLiU"/>
          <w:sz w:val="16"/>
          <w:szCs w:val="16"/>
          <w:color w:val="FFFFFF"/>
        </w:rPr>
        <w:t/>
      </w:r>
      <w:r>
        <w:rPr>
          <w:rFonts w:ascii="Arial" w:cs="Arial" w:eastAsia="Arial" w:hAnsi="Arial"/>
          <w:sz w:val="16"/>
          <w:szCs w:val="16"/>
          <w:color w:val="FFFFFF"/>
        </w:rPr>
        <w:t>Ȓɖȸ</w:t>
      </w:r>
      <w:r>
        <w:rPr>
          <w:rFonts w:ascii="PMingLiU" w:cs="PMingLiU" w:eastAsia="PMingLiU" w:hAnsi="PMingLiU"/>
          <w:sz w:val="16"/>
          <w:szCs w:val="16"/>
          <w:color w:val="FFFFFF"/>
        </w:rPr>
        <w:t/>
      </w:r>
      <w:r>
        <w:rPr>
          <w:rFonts w:ascii="Arial" w:cs="Arial" w:eastAsia="Arial" w:hAnsi="Arial"/>
          <w:sz w:val="16"/>
          <w:szCs w:val="16"/>
          <w:color w:val="FFFFFF"/>
        </w:rPr>
        <w:t>ǣȇɮƺɀɎȅƺȇɎ</w:t>
      </w:r>
      <w:r>
        <w:rPr>
          <w:rFonts w:ascii="PMingLiU" w:cs="PMingLiU" w:eastAsia="PMingLiU" w:hAnsi="PMingLiU"/>
          <w:sz w:val="16"/>
          <w:szCs w:val="16"/>
          <w:color w:val="FFFFFF"/>
        </w:rPr>
        <w:t/>
      </w:r>
      <w:r>
        <w:rPr>
          <w:rFonts w:ascii="Arial" w:cs="Arial" w:eastAsia="Arial" w:hAnsi="Arial"/>
          <w:sz w:val="16"/>
          <w:szCs w:val="16"/>
          <w:color w:val="FFFFFF"/>
        </w:rPr>
        <w:t>ǣȇ</w:t>
      </w:r>
      <w:r>
        <w:rPr>
          <w:rFonts w:ascii="PMingLiU" w:cs="PMingLiU" w:eastAsia="PMingLiU" w:hAnsi="PMingLiU"/>
          <w:sz w:val="16"/>
          <w:szCs w:val="16"/>
          <w:color w:val="FFFFFF"/>
        </w:rPr>
        <w:t/>
      </w:r>
      <w:r>
        <w:rPr>
          <w:rFonts w:ascii="Arial" w:cs="Arial" w:eastAsia="Arial" w:hAnsi="Arial"/>
          <w:sz w:val="16"/>
          <w:szCs w:val="16"/>
          <w:color w:val="FFFFFF"/>
        </w:rPr>
        <w:t>à0Áǣ</w:t>
      </w:r>
      <w:r>
        <w:rPr>
          <w:rFonts w:ascii="PMingLiU" w:cs="PMingLiU" w:eastAsia="PMingLiU" w:hAnsi="PMingLiU"/>
          <w:sz w:val="16"/>
          <w:szCs w:val="16"/>
          <w:color w:val="FFFFFF"/>
        </w:rPr>
        <w:t/>
      </w:r>
      <w:r>
        <w:rPr>
          <w:rFonts w:ascii="Arial" w:cs="Arial" w:eastAsia="Arial" w:hAnsi="Arial"/>
          <w:sz w:val="16"/>
          <w:szCs w:val="16"/>
          <w:color w:val="FFFFFF"/>
        </w:rPr>
        <w:t>ƬȸɵɀɎƏǼǼǣɿƺ</w:t>
      </w:r>
      <w:r>
        <w:rPr>
          <w:rFonts w:ascii="PMingLiU" w:cs="PMingLiU" w:eastAsia="PMingLiU" w:hAnsi="PMingLiU"/>
          <w:sz w:val="16"/>
          <w:szCs w:val="16"/>
          <w:color w:val="FFFFFF"/>
        </w:rPr>
        <w:t/>
      </w:r>
      <w:r>
        <w:rPr>
          <w:rFonts w:ascii="Arial" w:cs="Arial" w:eastAsia="Arial" w:hAnsi="Arial"/>
          <w:sz w:val="16"/>
          <w:szCs w:val="16"/>
          <w:color w:val="FFFFFF"/>
        </w:rPr>
        <w:t xml:space="preserve"> </w:t>
      </w:r>
      <w:r>
        <w:rPr>
          <w:rFonts w:ascii="Arial" w:cs="Arial" w:eastAsia="Arial" w:hAnsi="Arial"/>
          <w:sz w:val="16"/>
          <w:szCs w:val="16"/>
          <w:color w:val="FFFFFF"/>
        </w:rPr>
        <w:t>how we increasingly think about Kodiak: not only as a developer of medicines but as a Vision Sciences company.</w:t>
      </w:r>
    </w:p>
    <w:p>
      <w:pPr>
        <w:spacing w:after="0" w:line="275" w:lineRule="exact"/>
        <w:rPr>
          <w:sz w:val="20"/>
          <w:szCs w:val="20"/>
          <w:color w:val="auto"/>
        </w:rPr>
      </w:pPr>
    </w:p>
    <w:p>
      <w:pPr>
        <w:jc w:val="both"/>
        <w:ind w:right="20"/>
        <w:spacing w:after="0" w:line="255" w:lineRule="exact"/>
        <w:rPr>
          <w:sz w:val="20"/>
          <w:szCs w:val="20"/>
          <w:color w:val="auto"/>
        </w:rPr>
      </w:pPr>
      <w:r>
        <w:rPr>
          <w:rFonts w:ascii="Arial" w:cs="Arial" w:eastAsia="Arial" w:hAnsi="Arial"/>
          <w:sz w:val="17"/>
          <w:szCs w:val="17"/>
          <w:color w:val="FFFFFF"/>
        </w:rPr>
        <w:t>áƺ</w:t>
      </w:r>
      <w:r>
        <w:rPr>
          <w:rFonts w:ascii="PMingLiU" w:cs="PMingLiU" w:eastAsia="PMingLiU" w:hAnsi="PMingLiU"/>
          <w:sz w:val="17"/>
          <w:szCs w:val="17"/>
          <w:color w:val="FFFFFF"/>
        </w:rPr>
        <w:t/>
      </w:r>
      <w:r>
        <w:rPr>
          <w:rFonts w:ascii="Arial" w:cs="Arial" w:eastAsia="Arial" w:hAnsi="Arial"/>
          <w:sz w:val="17"/>
          <w:szCs w:val="17"/>
          <w:color w:val="FFFFFF"/>
        </w:rPr>
        <w:t xml:space="preserve"> Əȸƺ</w:t>
      </w:r>
      <w:r>
        <w:rPr>
          <w:rFonts w:ascii="PMingLiU" w:cs="PMingLiU" w:eastAsia="PMingLiU" w:hAnsi="PMingLiU"/>
          <w:sz w:val="17"/>
          <w:szCs w:val="17"/>
          <w:color w:val="FFFFFF"/>
        </w:rPr>
        <w:t/>
      </w:r>
      <w:r>
        <w:rPr>
          <w:rFonts w:ascii="Arial" w:cs="Arial" w:eastAsia="Arial" w:hAnsi="Arial"/>
          <w:sz w:val="17"/>
          <w:szCs w:val="17"/>
          <w:color w:val="FFFFFF"/>
        </w:rPr>
        <w:t xml:space="preserve"> ȇȒɯ</w:t>
      </w:r>
      <w:r>
        <w:rPr>
          <w:rFonts w:ascii="PMingLiU" w:cs="PMingLiU" w:eastAsia="PMingLiU" w:hAnsi="PMingLiU"/>
          <w:sz w:val="17"/>
          <w:szCs w:val="17"/>
          <w:color w:val="FFFFFF"/>
        </w:rPr>
        <w:t/>
      </w:r>
      <w:r>
        <w:rPr>
          <w:rFonts w:ascii="Arial" w:cs="Arial" w:eastAsia="Arial" w:hAnsi="Arial"/>
          <w:sz w:val="17"/>
          <w:szCs w:val="17"/>
          <w:color w:val="FFFFFF"/>
        </w:rPr>
        <w:t xml:space="preserve"> ǣȇ</w:t>
      </w:r>
      <w:r>
        <w:rPr>
          <w:rFonts w:ascii="PMingLiU" w:cs="PMingLiU" w:eastAsia="PMingLiU" w:hAnsi="PMingLiU"/>
          <w:sz w:val="17"/>
          <w:szCs w:val="17"/>
          <w:color w:val="FFFFFF"/>
        </w:rPr>
        <w:t/>
      </w:r>
      <w:r>
        <w:rPr>
          <w:rFonts w:ascii="Arial" w:cs="Arial" w:eastAsia="Arial" w:hAnsi="Arial"/>
          <w:sz w:val="17"/>
          <w:szCs w:val="17"/>
          <w:color w:val="FFFFFF"/>
        </w:rPr>
        <w:t xml:space="preserve"> Ə</w:t>
      </w:r>
      <w:r>
        <w:rPr>
          <w:rFonts w:ascii="PMingLiU" w:cs="PMingLiU" w:eastAsia="PMingLiU" w:hAnsi="PMingLiU"/>
          <w:sz w:val="17"/>
          <w:szCs w:val="17"/>
          <w:color w:val="FFFFFF"/>
        </w:rPr>
        <w:t/>
      </w:r>
      <w:r>
        <w:rPr>
          <w:rFonts w:ascii="Arial" w:cs="Arial" w:eastAsia="Arial" w:hAnsi="Arial"/>
          <w:sz w:val="17"/>
          <w:szCs w:val="17"/>
          <w:color w:val="FFFFFF"/>
        </w:rPr>
        <w:t xml:space="preserve"> ȵƺȸǣȒƳ</w:t>
      </w:r>
      <w:r>
        <w:rPr>
          <w:rFonts w:ascii="PMingLiU" w:cs="PMingLiU" w:eastAsia="PMingLiU" w:hAnsi="PMingLiU"/>
          <w:sz w:val="17"/>
          <w:szCs w:val="17"/>
          <w:color w:val="FFFFFF"/>
        </w:rPr>
        <w:t/>
      </w:r>
      <w:r>
        <w:rPr>
          <w:rFonts w:ascii="Arial" w:cs="Arial" w:eastAsia="Arial" w:hAnsi="Arial"/>
          <w:sz w:val="17"/>
          <w:szCs w:val="17"/>
          <w:color w:val="FFFFFF"/>
        </w:rPr>
        <w:t xml:space="preserve"> ƳƺˡȇƺƳ</w:t>
      </w:r>
      <w:r>
        <w:rPr>
          <w:rFonts w:ascii="PMingLiU" w:cs="PMingLiU" w:eastAsia="PMingLiU" w:hAnsi="PMingLiU"/>
          <w:sz w:val="17"/>
          <w:szCs w:val="17"/>
          <w:color w:val="FFFFFF"/>
        </w:rPr>
        <w:t/>
      </w:r>
      <w:r>
        <w:rPr>
          <w:rFonts w:ascii="Arial" w:cs="Arial" w:eastAsia="Arial" w:hAnsi="Arial"/>
          <w:sz w:val="17"/>
          <w:szCs w:val="17"/>
          <w:color w:val="FFFFFF"/>
        </w:rPr>
        <w:t xml:space="preserve"> ƫɵ</w:t>
      </w:r>
      <w:r>
        <w:rPr>
          <w:rFonts w:ascii="PMingLiU" w:cs="PMingLiU" w:eastAsia="PMingLiU" w:hAnsi="PMingLiU"/>
          <w:sz w:val="17"/>
          <w:szCs w:val="17"/>
          <w:color w:val="FFFFFF"/>
        </w:rPr>
        <w:t/>
      </w:r>
      <w:r>
        <w:rPr>
          <w:rFonts w:ascii="Arial" w:cs="Arial" w:eastAsia="Arial" w:hAnsi="Arial"/>
          <w:sz w:val="17"/>
          <w:szCs w:val="17"/>
          <w:color w:val="FFFFFF"/>
        </w:rPr>
        <w:t xml:space="preserve"> ǣȅȵȒȸɎƏȇɎ</w:t>
      </w:r>
      <w:r>
        <w:rPr>
          <w:rFonts w:ascii="PMingLiU" w:cs="PMingLiU" w:eastAsia="PMingLiU" w:hAnsi="PMingLiU"/>
          <w:sz w:val="17"/>
          <w:szCs w:val="17"/>
          <w:color w:val="FFFFFF"/>
        </w:rPr>
        <w:t/>
      </w:r>
      <w:r>
        <w:rPr>
          <w:rFonts w:ascii="Arial" w:cs="Arial" w:eastAsia="Arial" w:hAnsi="Arial"/>
          <w:sz w:val="17"/>
          <w:szCs w:val="17"/>
          <w:color w:val="FFFFFF"/>
        </w:rPr>
        <w:t xml:space="preserve"> ƬǼǣȇǣƬƏǼ</w:t>
      </w:r>
      <w:r>
        <w:rPr>
          <w:rFonts w:ascii="PMingLiU" w:cs="PMingLiU" w:eastAsia="PMingLiU" w:hAnsi="PMingLiU"/>
          <w:sz w:val="17"/>
          <w:szCs w:val="17"/>
          <w:color w:val="FFFFFF"/>
        </w:rPr>
        <w:t/>
      </w:r>
      <w:r>
        <w:rPr>
          <w:rFonts w:ascii="Arial" w:cs="Arial" w:eastAsia="Arial" w:hAnsi="Arial"/>
          <w:sz w:val="17"/>
          <w:szCs w:val="17"/>
          <w:color w:val="FFFFFF"/>
        </w:rPr>
        <w:t xml:space="preserve"> ȸƺƏƳȒɖɎɀ</w:t>
      </w:r>
      <w:r>
        <w:rPr>
          <w:rFonts w:ascii="PMingLiU" w:cs="PMingLiU" w:eastAsia="PMingLiU" w:hAnsi="PMingLiU"/>
          <w:sz w:val="17"/>
          <w:szCs w:val="17"/>
          <w:color w:val="FFFFFF"/>
        </w:rPr>
        <w:t/>
      </w:r>
      <w:r>
        <w:rPr>
          <w:rFonts w:ascii="Arial" w:cs="Arial" w:eastAsia="Arial" w:hAnsi="Arial"/>
          <w:sz w:val="17"/>
          <w:szCs w:val="17"/>
          <w:color w:val="FFFFFF"/>
        </w:rPr>
        <w:t xml:space="preserve"> ƏȇƳ</w:t>
      </w:r>
      <w:r>
        <w:rPr>
          <w:rFonts w:ascii="PMingLiU" w:cs="PMingLiU" w:eastAsia="PMingLiU" w:hAnsi="PMingLiU"/>
          <w:sz w:val="17"/>
          <w:szCs w:val="17"/>
          <w:color w:val="FFFFFF"/>
        </w:rPr>
        <w:t/>
      </w:r>
      <w:r>
        <w:rPr>
          <w:rFonts w:ascii="Arial" w:cs="Arial" w:eastAsia="Arial" w:hAnsi="Arial"/>
          <w:sz w:val="17"/>
          <w:szCs w:val="17"/>
          <w:color w:val="FFFFFF"/>
        </w:rPr>
        <w:t xml:space="preserve"> Ȓɖȸ</w:t>
      </w:r>
      <w:r>
        <w:rPr>
          <w:rFonts w:ascii="PMingLiU" w:cs="PMingLiU" w:eastAsia="PMingLiU" w:hAnsi="PMingLiU"/>
          <w:sz w:val="17"/>
          <w:szCs w:val="17"/>
          <w:color w:val="FFFFFF"/>
        </w:rPr>
        <w:t/>
      </w:r>
      <w:r>
        <w:rPr>
          <w:rFonts w:ascii="Arial" w:cs="Arial" w:eastAsia="Arial" w:hAnsi="Arial"/>
          <w:sz w:val="17"/>
          <w:szCs w:val="17"/>
          <w:color w:val="FFFFFF"/>
        </w:rPr>
        <w:t xml:space="preserve"> ˡȸɀɎ</w:t>
      </w:r>
      <w:r>
        <w:rPr>
          <w:rFonts w:ascii="PMingLiU" w:cs="PMingLiU" w:eastAsia="PMingLiU" w:hAnsi="PMingLiU"/>
          <w:sz w:val="17"/>
          <w:szCs w:val="17"/>
          <w:color w:val="FFFFFF"/>
        </w:rPr>
        <w:t/>
      </w:r>
      <w:r>
        <w:rPr>
          <w:rFonts w:ascii="Arial" w:cs="Arial" w:eastAsia="Arial" w:hAnsi="Arial"/>
          <w:sz w:val="17"/>
          <w:szCs w:val="17"/>
          <w:color w:val="FFFFFF"/>
        </w:rPr>
        <w:t xml:space="preserve"> ȵǼƏȇȇƺƳ</w:t>
      </w:r>
      <w:r>
        <w:rPr>
          <w:rFonts w:ascii="PMingLiU" w:cs="PMingLiU" w:eastAsia="PMingLiU" w:hAnsi="PMingLiU"/>
          <w:sz w:val="17"/>
          <w:szCs w:val="17"/>
          <w:color w:val="FFFFFF"/>
        </w:rPr>
        <w:t/>
      </w:r>
      <w:r>
        <w:rPr>
          <w:rFonts w:ascii="Arial" w:cs="Arial" w:eastAsia="Arial" w:hAnsi="Arial"/>
          <w:sz w:val="17"/>
          <w:szCs w:val="17"/>
          <w:color w:val="FFFFFF"/>
        </w:rPr>
        <w:t xml:space="preserve"> ȸƺǕɖǼƏɎȒȸɵ</w:t>
      </w:r>
      <w:r>
        <w:rPr>
          <w:rFonts w:ascii="PMingLiU" w:cs="PMingLiU" w:eastAsia="PMingLiU" w:hAnsi="PMingLiU"/>
          <w:sz w:val="17"/>
          <w:szCs w:val="17"/>
          <w:color w:val="FFFFFF"/>
        </w:rPr>
        <w:t/>
      </w:r>
      <w:r>
        <w:rPr>
          <w:rFonts w:ascii="Arial" w:cs="Arial" w:eastAsia="Arial" w:hAnsi="Arial"/>
          <w:sz w:val="17"/>
          <w:szCs w:val="17"/>
          <w:color w:val="FFFFFF"/>
        </w:rPr>
        <w:t xml:space="preserve"> ɀɖƫȅǣɀɀǣȒȇِ</w:t>
      </w:r>
      <w:r>
        <w:rPr>
          <w:rFonts w:ascii="PMingLiU" w:cs="PMingLiU" w:eastAsia="PMingLiU" w:hAnsi="PMingLiU"/>
          <w:sz w:val="17"/>
          <w:szCs w:val="17"/>
          <w:color w:val="FFFFFF"/>
        </w:rPr>
        <w:t/>
      </w:r>
      <w:r>
        <w:rPr>
          <w:rFonts w:ascii="Arial" w:cs="Arial" w:eastAsia="Arial" w:hAnsi="Arial"/>
          <w:sz w:val="17"/>
          <w:szCs w:val="17"/>
          <w:color w:val="FFFFFF"/>
        </w:rPr>
        <w:t>Áǝƺɀƺ</w:t>
      </w:r>
      <w:r>
        <w:rPr>
          <w:rFonts w:ascii="PMingLiU" w:cs="PMingLiU" w:eastAsia="PMingLiU" w:hAnsi="PMingLiU"/>
          <w:sz w:val="17"/>
          <w:szCs w:val="17"/>
          <w:color w:val="FFFFFF"/>
        </w:rPr>
        <w:t/>
      </w:r>
      <w:r>
        <w:rPr>
          <w:rFonts w:ascii="Arial" w:cs="Arial" w:eastAsia="Arial" w:hAnsi="Arial"/>
          <w:sz w:val="17"/>
          <w:szCs w:val="17"/>
          <w:color w:val="FFFFFF"/>
        </w:rPr>
        <w:t>ȅǣǼƺɀɎȒȇƺɀ</w:t>
      </w:r>
      <w:r>
        <w:rPr>
          <w:rFonts w:ascii="PMingLiU" w:cs="PMingLiU" w:eastAsia="PMingLiU" w:hAnsi="PMingLiU"/>
          <w:sz w:val="17"/>
          <w:szCs w:val="17"/>
          <w:color w:val="FFFFFF"/>
        </w:rPr>
        <w:t/>
      </w:r>
      <w:r>
        <w:rPr>
          <w:rFonts w:ascii="Arial" w:cs="Arial" w:eastAsia="Arial" w:hAnsi="Arial"/>
          <w:sz w:val="17"/>
          <w:szCs w:val="17"/>
          <w:color w:val="FFFFFF"/>
        </w:rPr>
        <w:t>ɯǣǼǼ</w:t>
      </w:r>
      <w:r>
        <w:rPr>
          <w:rFonts w:ascii="PMingLiU" w:cs="PMingLiU" w:eastAsia="PMingLiU" w:hAnsi="PMingLiU"/>
          <w:sz w:val="17"/>
          <w:szCs w:val="17"/>
          <w:color w:val="FFFFFF"/>
        </w:rPr>
        <w:t/>
      </w:r>
      <w:r>
        <w:rPr>
          <w:rFonts w:ascii="Arial" w:cs="Arial" w:eastAsia="Arial" w:hAnsi="Arial"/>
          <w:sz w:val="17"/>
          <w:szCs w:val="17"/>
          <w:color w:val="FFFFFF"/>
        </w:rPr>
        <w:t>ȅȒȸƺ</w:t>
      </w:r>
      <w:r>
        <w:rPr>
          <w:rFonts w:ascii="PMingLiU" w:cs="PMingLiU" w:eastAsia="PMingLiU" w:hAnsi="PMingLiU"/>
          <w:sz w:val="17"/>
          <w:szCs w:val="17"/>
          <w:color w:val="FFFFFF"/>
        </w:rPr>
        <w:t/>
      </w:r>
      <w:r>
        <w:rPr>
          <w:rFonts w:ascii="Arial" w:cs="Arial" w:eastAsia="Arial" w:hAnsi="Arial"/>
          <w:sz w:val="17"/>
          <w:szCs w:val="17"/>
          <w:color w:val="FFFFFF"/>
        </w:rPr>
        <w:t>ǔɖǼǼɵ</w:t>
      </w:r>
      <w:r>
        <w:rPr>
          <w:rFonts w:ascii="PMingLiU" w:cs="PMingLiU" w:eastAsia="PMingLiU" w:hAnsi="PMingLiU"/>
          <w:sz w:val="17"/>
          <w:szCs w:val="17"/>
          <w:color w:val="FFFFFF"/>
        </w:rPr>
        <w:t/>
      </w:r>
      <w:r>
        <w:rPr>
          <w:rFonts w:ascii="Arial" w:cs="Arial" w:eastAsia="Arial" w:hAnsi="Arial"/>
          <w:sz w:val="17"/>
          <w:szCs w:val="17"/>
          <w:color w:val="FFFFFF"/>
        </w:rPr>
        <w:t>ǣȇǔȒȸȅ</w:t>
      </w:r>
      <w:r>
        <w:rPr>
          <w:rFonts w:ascii="PMingLiU" w:cs="PMingLiU" w:eastAsia="PMingLiU" w:hAnsi="PMingLiU"/>
          <w:sz w:val="17"/>
          <w:szCs w:val="17"/>
          <w:color w:val="FFFFFF"/>
        </w:rPr>
        <w:t/>
      </w:r>
      <w:r>
        <w:rPr>
          <w:rFonts w:ascii="Arial" w:cs="Arial" w:eastAsia="Arial" w:hAnsi="Arial"/>
          <w:sz w:val="17"/>
          <w:szCs w:val="17"/>
          <w:color w:val="FFFFFF"/>
        </w:rPr>
        <w:t>Ɏǝƺ</w:t>
      </w:r>
      <w:r>
        <w:rPr>
          <w:rFonts w:ascii="PMingLiU" w:cs="PMingLiU" w:eastAsia="PMingLiU" w:hAnsi="PMingLiU"/>
          <w:sz w:val="17"/>
          <w:szCs w:val="17"/>
          <w:color w:val="FFFFFF"/>
        </w:rPr>
        <w:t/>
      </w:r>
      <w:r>
        <w:rPr>
          <w:rFonts w:ascii="Arial" w:cs="Arial" w:eastAsia="Arial" w:hAnsi="Arial"/>
          <w:sz w:val="17"/>
          <w:szCs w:val="17"/>
          <w:color w:val="FFFFFF"/>
        </w:rPr>
        <w:t>ȸȒǼƺ</w:t>
      </w:r>
      <w:r>
        <w:rPr>
          <w:rFonts w:ascii="PMingLiU" w:cs="PMingLiU" w:eastAsia="PMingLiU" w:hAnsi="PMingLiU"/>
          <w:sz w:val="17"/>
          <w:szCs w:val="17"/>
          <w:color w:val="FFFFFF"/>
        </w:rPr>
        <w:t/>
      </w:r>
      <w:r>
        <w:rPr>
          <w:rFonts w:ascii="Arial" w:cs="Arial" w:eastAsia="Arial" w:hAnsi="Arial"/>
          <w:sz w:val="17"/>
          <w:szCs w:val="17"/>
          <w:color w:val="FFFFFF"/>
        </w:rPr>
        <w:t>Ȓɖȸ</w:t>
      </w:r>
      <w:r>
        <w:rPr>
          <w:rFonts w:ascii="PMingLiU" w:cs="PMingLiU" w:eastAsia="PMingLiU" w:hAnsi="PMingLiU"/>
          <w:sz w:val="17"/>
          <w:szCs w:val="17"/>
          <w:color w:val="FFFFFF"/>
        </w:rPr>
        <w:t/>
      </w:r>
      <w:r>
        <w:rPr>
          <w:rFonts w:ascii="Arial" w:cs="Arial" w:eastAsia="Arial" w:hAnsi="Arial"/>
          <w:sz w:val="17"/>
          <w:szCs w:val="17"/>
          <w:color w:val="FFFFFF"/>
        </w:rPr>
        <w:t>ɎǝƺȸƏȵǣƺɀ</w:t>
      </w:r>
      <w:r>
        <w:rPr>
          <w:rFonts w:ascii="PMingLiU" w:cs="PMingLiU" w:eastAsia="PMingLiU" w:hAnsi="PMingLiU"/>
          <w:sz w:val="17"/>
          <w:szCs w:val="17"/>
          <w:color w:val="FFFFFF"/>
        </w:rPr>
        <w:t/>
      </w:r>
      <w:r>
        <w:rPr>
          <w:rFonts w:ascii="Arial" w:cs="Arial" w:eastAsia="Arial" w:hAnsi="Arial"/>
          <w:sz w:val="17"/>
          <w:szCs w:val="17"/>
          <w:color w:val="FFFFFF"/>
        </w:rPr>
        <w:t>ȅƏɵ</w:t>
      </w:r>
      <w:r>
        <w:rPr>
          <w:rFonts w:ascii="PMingLiU" w:cs="PMingLiU" w:eastAsia="PMingLiU" w:hAnsi="PMingLiU"/>
          <w:sz w:val="17"/>
          <w:szCs w:val="17"/>
          <w:color w:val="FFFFFF"/>
        </w:rPr>
        <w:t/>
      </w:r>
      <w:r>
        <w:rPr>
          <w:rFonts w:ascii="Arial" w:cs="Arial" w:eastAsia="Arial" w:hAnsi="Arial"/>
          <w:sz w:val="17"/>
          <w:szCs w:val="17"/>
          <w:color w:val="FFFFFF"/>
        </w:rPr>
        <w:t>ȵǼƏɵ</w:t>
      </w:r>
      <w:r>
        <w:rPr>
          <w:rFonts w:ascii="PMingLiU" w:cs="PMingLiU" w:eastAsia="PMingLiU" w:hAnsi="PMingLiU"/>
          <w:sz w:val="17"/>
          <w:szCs w:val="17"/>
          <w:color w:val="FFFFFF"/>
        </w:rPr>
        <w:t/>
      </w:r>
      <w:r>
        <w:rPr>
          <w:rFonts w:ascii="Arial" w:cs="Arial" w:eastAsia="Arial" w:hAnsi="Arial"/>
          <w:sz w:val="17"/>
          <w:szCs w:val="17"/>
          <w:color w:val="FFFFFF"/>
        </w:rPr>
        <w:t>ǣȇ</w:t>
      </w:r>
      <w:r>
        <w:rPr>
          <w:rFonts w:ascii="PMingLiU" w:cs="PMingLiU" w:eastAsia="PMingLiU" w:hAnsi="PMingLiU"/>
          <w:sz w:val="17"/>
          <w:szCs w:val="17"/>
          <w:color w:val="FFFFFF"/>
        </w:rPr>
        <w:t/>
      </w:r>
      <w:r>
        <w:rPr>
          <w:rFonts w:ascii="Arial" w:cs="Arial" w:eastAsia="Arial" w:hAnsi="Arial"/>
          <w:sz w:val="17"/>
          <w:szCs w:val="17"/>
          <w:color w:val="FFFFFF"/>
        </w:rPr>
        <w:t>Ɏǝƺ</w:t>
      </w:r>
      <w:r>
        <w:rPr>
          <w:rFonts w:ascii="PMingLiU" w:cs="PMingLiU" w:eastAsia="PMingLiU" w:hAnsi="PMingLiU"/>
          <w:sz w:val="17"/>
          <w:szCs w:val="17"/>
          <w:color w:val="FFFFFF"/>
        </w:rPr>
        <w:t/>
      </w:r>
      <w:r>
        <w:rPr>
          <w:rFonts w:ascii="Arial" w:cs="Arial" w:eastAsia="Arial" w:hAnsi="Arial"/>
          <w:sz w:val="17"/>
          <w:szCs w:val="17"/>
          <w:color w:val="FFFFFF"/>
        </w:rPr>
        <w:t>ɎȸƺƏɎȅƺȇɎ</w:t>
      </w:r>
      <w:r>
        <w:rPr>
          <w:rFonts w:ascii="PMingLiU" w:cs="PMingLiU" w:eastAsia="PMingLiU" w:hAnsi="PMingLiU"/>
          <w:sz w:val="17"/>
          <w:szCs w:val="17"/>
          <w:color w:val="FFFFFF"/>
        </w:rPr>
        <w:t/>
      </w:r>
      <w:r>
        <w:rPr>
          <w:rFonts w:ascii="Arial" w:cs="Arial" w:eastAsia="Arial" w:hAnsi="Arial"/>
          <w:sz w:val="17"/>
          <w:szCs w:val="17"/>
          <w:color w:val="FFFFFF"/>
        </w:rPr>
        <w:t xml:space="preserve"> </w:t>
      </w:r>
      <w:r>
        <w:rPr>
          <w:rFonts w:ascii="Arial" w:cs="Arial" w:eastAsia="Arial" w:hAnsi="Arial"/>
          <w:sz w:val="17"/>
          <w:szCs w:val="17"/>
          <w:color w:val="FFFFFF"/>
        </w:rPr>
        <w:t>landscape and as importantly the long-term direction of the company.</w:t>
      </w:r>
    </w:p>
    <w:p>
      <w:pPr>
        <w:spacing w:after="0" w:line="275" w:lineRule="exact"/>
        <w:rPr>
          <w:sz w:val="20"/>
          <w:szCs w:val="20"/>
          <w:color w:val="auto"/>
        </w:rPr>
      </w:pPr>
    </w:p>
    <w:p>
      <w:pPr>
        <w:jc w:val="both"/>
        <w:ind w:right="20"/>
        <w:spacing w:after="0" w:line="255" w:lineRule="exact"/>
        <w:rPr>
          <w:sz w:val="20"/>
          <w:szCs w:val="20"/>
          <w:color w:val="auto"/>
        </w:rPr>
      </w:pPr>
      <w:r>
        <w:rPr>
          <w:rFonts w:ascii="Arial" w:cs="Arial" w:eastAsia="Arial" w:hAnsi="Arial"/>
          <w:sz w:val="17"/>
          <w:szCs w:val="17"/>
          <w:color w:val="FFFFFF"/>
        </w:rPr>
        <w:t>Xȇ</w:t>
      </w:r>
      <w:r>
        <w:rPr>
          <w:rFonts w:ascii="PMingLiU" w:cs="PMingLiU" w:eastAsia="PMingLiU" w:hAnsi="PMingLiU"/>
          <w:sz w:val="17"/>
          <w:szCs w:val="17"/>
          <w:color w:val="FFFFFF"/>
        </w:rPr>
        <w:t/>
      </w:r>
      <w:r>
        <w:rPr>
          <w:rFonts w:ascii="Arial" w:cs="Arial" w:eastAsia="Arial" w:hAnsi="Arial"/>
          <w:sz w:val="17"/>
          <w:szCs w:val="17"/>
          <w:color w:val="FFFFFF"/>
        </w:rPr>
        <w:t>א אדً</w:t>
      </w:r>
      <w:r>
        <w:rPr>
          <w:rFonts w:ascii="PMingLiU" w:cs="PMingLiU" w:eastAsia="PMingLiU" w:hAnsi="PMingLiU"/>
          <w:sz w:val="17"/>
          <w:szCs w:val="17"/>
          <w:color w:val="FFFFFF"/>
        </w:rPr>
        <w:t/>
      </w:r>
      <w:r>
        <w:rPr>
          <w:rFonts w:ascii="Arial" w:cs="Arial" w:eastAsia="Arial" w:hAnsi="Arial"/>
          <w:sz w:val="17"/>
          <w:szCs w:val="17"/>
          <w:color w:val="FFFFFF"/>
        </w:rPr>
        <w:t>ɯƺ</w:t>
      </w:r>
      <w:r>
        <w:rPr>
          <w:rFonts w:ascii="PMingLiU" w:cs="PMingLiU" w:eastAsia="PMingLiU" w:hAnsi="PMingLiU"/>
          <w:sz w:val="17"/>
          <w:szCs w:val="17"/>
          <w:color w:val="FFFFFF"/>
        </w:rPr>
        <w:t/>
      </w:r>
      <w:r>
        <w:rPr>
          <w:rFonts w:ascii="Arial" w:cs="Arial" w:eastAsia="Arial" w:hAnsi="Arial"/>
          <w:sz w:val="17"/>
          <w:szCs w:val="17"/>
          <w:color w:val="FFFFFF"/>
        </w:rPr>
        <w:t>ƏǼɀȒ</w:t>
      </w:r>
      <w:r>
        <w:rPr>
          <w:rFonts w:ascii="PMingLiU" w:cs="PMingLiU" w:eastAsia="PMingLiU" w:hAnsi="PMingLiU"/>
          <w:sz w:val="17"/>
          <w:szCs w:val="17"/>
          <w:color w:val="FFFFFF"/>
        </w:rPr>
        <w:t/>
      </w:r>
      <w:r>
        <w:rPr>
          <w:rFonts w:ascii="Arial" w:cs="Arial" w:eastAsia="Arial" w:hAnsi="Arial"/>
          <w:sz w:val="17"/>
          <w:szCs w:val="17"/>
          <w:color w:val="FFFFFF"/>
        </w:rPr>
        <w:t>ɎȒȒǸ</w:t>
      </w:r>
      <w:r>
        <w:rPr>
          <w:rFonts w:ascii="PMingLiU" w:cs="PMingLiU" w:eastAsia="PMingLiU" w:hAnsi="PMingLiU"/>
          <w:sz w:val="17"/>
          <w:szCs w:val="17"/>
          <w:color w:val="FFFFFF"/>
        </w:rPr>
        <w:t/>
      </w:r>
      <w:r>
        <w:rPr>
          <w:rFonts w:ascii="Arial" w:cs="Arial" w:eastAsia="Arial" w:hAnsi="Arial"/>
          <w:sz w:val="17"/>
          <w:szCs w:val="17"/>
          <w:color w:val="FFFFFF"/>
        </w:rPr>
        <w:t>ȅƺƏɀɖȸƺƳ</w:t>
      </w:r>
      <w:r>
        <w:rPr>
          <w:rFonts w:ascii="PMingLiU" w:cs="PMingLiU" w:eastAsia="PMingLiU" w:hAnsi="PMingLiU"/>
          <w:sz w:val="17"/>
          <w:szCs w:val="17"/>
          <w:color w:val="FFFFFF"/>
        </w:rPr>
        <w:t/>
      </w:r>
      <w:r>
        <w:rPr>
          <w:rFonts w:ascii="Arial" w:cs="Arial" w:eastAsia="Arial" w:hAnsi="Arial"/>
          <w:sz w:val="17"/>
          <w:szCs w:val="17"/>
          <w:color w:val="FFFFFF"/>
        </w:rPr>
        <w:t>ɀɎƺȵɀ</w:t>
      </w:r>
      <w:r>
        <w:rPr>
          <w:rFonts w:ascii="PMingLiU" w:cs="PMingLiU" w:eastAsia="PMingLiU" w:hAnsi="PMingLiU"/>
          <w:sz w:val="17"/>
          <w:szCs w:val="17"/>
          <w:color w:val="FFFFFF"/>
        </w:rPr>
        <w:t/>
      </w:r>
      <w:r>
        <w:rPr>
          <w:rFonts w:ascii="Arial" w:cs="Arial" w:eastAsia="Arial" w:hAnsi="Arial"/>
          <w:sz w:val="17"/>
          <w:szCs w:val="17"/>
          <w:color w:val="FFFFFF"/>
        </w:rPr>
        <w:t>ɎȒ</w:t>
      </w:r>
      <w:r>
        <w:rPr>
          <w:rFonts w:ascii="PMingLiU" w:cs="PMingLiU" w:eastAsia="PMingLiU" w:hAnsi="PMingLiU"/>
          <w:sz w:val="17"/>
          <w:szCs w:val="17"/>
          <w:color w:val="FFFFFF"/>
        </w:rPr>
        <w:t/>
      </w:r>
      <w:r>
        <w:rPr>
          <w:rFonts w:ascii="Arial" w:cs="Arial" w:eastAsia="Arial" w:hAnsi="Arial"/>
          <w:sz w:val="17"/>
          <w:szCs w:val="17"/>
          <w:color w:val="FFFFFF"/>
        </w:rPr>
        <w:t>ɀɎȸƺȇǕɎǝƺȇ</w:t>
      </w:r>
      <w:r>
        <w:rPr>
          <w:rFonts w:ascii="PMingLiU" w:cs="PMingLiU" w:eastAsia="PMingLiU" w:hAnsi="PMingLiU"/>
          <w:sz w:val="17"/>
          <w:szCs w:val="17"/>
          <w:color w:val="FFFFFF"/>
        </w:rPr>
        <w:t/>
      </w:r>
      <w:r>
        <w:rPr>
          <w:rFonts w:ascii="Arial" w:cs="Arial" w:eastAsia="Arial" w:hAnsi="Arial"/>
          <w:sz w:val="17"/>
          <w:szCs w:val="17"/>
          <w:color w:val="FFFFFF"/>
        </w:rPr>
        <w:t>Ȓɖȸ</w:t>
      </w:r>
      <w:r>
        <w:rPr>
          <w:rFonts w:ascii="PMingLiU" w:cs="PMingLiU" w:eastAsia="PMingLiU" w:hAnsi="PMingLiU"/>
          <w:sz w:val="17"/>
          <w:szCs w:val="17"/>
          <w:color w:val="FFFFFF"/>
        </w:rPr>
        <w:t/>
      </w:r>
      <w:r>
        <w:rPr>
          <w:rFonts w:ascii="Arial" w:cs="Arial" w:eastAsia="Arial" w:hAnsi="Arial"/>
          <w:sz w:val="17"/>
          <w:szCs w:val="17"/>
          <w:color w:val="FFFFFF"/>
        </w:rPr>
        <w:t>ˡȇƏȇƬǣƏǼ</w:t>
      </w:r>
      <w:r>
        <w:rPr>
          <w:rFonts w:ascii="PMingLiU" w:cs="PMingLiU" w:eastAsia="PMingLiU" w:hAnsi="PMingLiU"/>
          <w:sz w:val="17"/>
          <w:szCs w:val="17"/>
          <w:color w:val="FFFFFF"/>
        </w:rPr>
        <w:t/>
      </w:r>
      <w:r>
        <w:rPr>
          <w:rFonts w:ascii="Arial" w:cs="Arial" w:eastAsia="Arial" w:hAnsi="Arial"/>
          <w:sz w:val="17"/>
          <w:szCs w:val="17"/>
          <w:color w:val="FFFFFF"/>
        </w:rPr>
        <w:t>ȵȒɀǣɎǣȒȇً</w:t>
      </w:r>
      <w:r>
        <w:rPr>
          <w:rFonts w:ascii="PMingLiU" w:cs="PMingLiU" w:eastAsia="PMingLiU" w:hAnsi="PMingLiU"/>
          <w:sz w:val="17"/>
          <w:szCs w:val="17"/>
          <w:color w:val="FFFFFF"/>
        </w:rPr>
        <w:t/>
      </w:r>
      <w:r>
        <w:rPr>
          <w:rFonts w:ascii="Arial" w:cs="Arial" w:eastAsia="Arial" w:hAnsi="Arial"/>
          <w:sz w:val="17"/>
          <w:szCs w:val="17"/>
          <w:color w:val="FFFFFF"/>
        </w:rPr>
        <w:t>ǣȇƬǼɖƳǣȇǕ</w:t>
      </w:r>
      <w:r>
        <w:rPr>
          <w:rFonts w:ascii="PMingLiU" w:cs="PMingLiU" w:eastAsia="PMingLiU" w:hAnsi="PMingLiU"/>
          <w:sz w:val="17"/>
          <w:szCs w:val="17"/>
          <w:color w:val="FFFFFF"/>
        </w:rPr>
        <w:t/>
      </w:r>
      <w:r>
        <w:rPr>
          <w:rFonts w:ascii="Arial" w:cs="Arial" w:eastAsia="Arial" w:hAnsi="Arial"/>
          <w:sz w:val="17"/>
          <w:szCs w:val="17"/>
          <w:color w:val="FFFFFF"/>
        </w:rPr>
        <w:t>Ɏǝƺ</w:t>
      </w:r>
      <w:r>
        <w:rPr>
          <w:rFonts w:ascii="PMingLiU" w:cs="PMingLiU" w:eastAsia="PMingLiU" w:hAnsi="PMingLiU"/>
          <w:sz w:val="17"/>
          <w:szCs w:val="17"/>
          <w:color w:val="FFFFFF"/>
        </w:rPr>
        <w:t/>
      </w:r>
      <w:r>
        <w:rPr>
          <w:rFonts w:ascii="Arial" w:cs="Arial" w:eastAsia="Arial" w:hAnsi="Arial"/>
          <w:sz w:val="17"/>
          <w:szCs w:val="17"/>
          <w:color w:val="FFFFFF"/>
        </w:rPr>
        <w:t>ƬȒȅȵǼƺɎǣȒȇ</w:t>
      </w:r>
      <w:r>
        <w:rPr>
          <w:rFonts w:ascii="PMingLiU" w:cs="PMingLiU" w:eastAsia="PMingLiU" w:hAnsi="PMingLiU"/>
          <w:sz w:val="17"/>
          <w:szCs w:val="17"/>
          <w:color w:val="FFFFFF"/>
        </w:rPr>
        <w:t/>
      </w:r>
      <w:r>
        <w:rPr>
          <w:rFonts w:ascii="Arial" w:cs="Arial" w:eastAsia="Arial" w:hAnsi="Arial"/>
          <w:sz w:val="17"/>
          <w:szCs w:val="17"/>
          <w:color w:val="FFFFFF"/>
        </w:rPr>
        <w:t>Ȓǔ</w:t>
      </w:r>
      <w:r>
        <w:rPr>
          <w:rFonts w:ascii="PMingLiU" w:cs="PMingLiU" w:eastAsia="PMingLiU" w:hAnsi="PMingLiU"/>
          <w:sz w:val="17"/>
          <w:szCs w:val="17"/>
          <w:color w:val="FFFFFF"/>
        </w:rPr>
        <w:t/>
      </w:r>
      <w:r>
        <w:rPr>
          <w:rFonts w:ascii="Arial" w:cs="Arial" w:eastAsia="Arial" w:hAnsi="Arial"/>
          <w:sz w:val="17"/>
          <w:szCs w:val="17"/>
          <w:color w:val="FFFFFF"/>
        </w:rPr>
        <w:t xml:space="preserve"> </w:t>
      </w:r>
      <w:r>
        <w:rPr>
          <w:rFonts w:ascii="Arial" w:cs="Arial" w:eastAsia="Arial" w:hAnsi="Arial"/>
          <w:sz w:val="17"/>
          <w:szCs w:val="17"/>
          <w:color w:val="FFFFFF"/>
        </w:rPr>
        <w:t>an equity offering in December 2025 in which we received net proceeds of $173.0 million, ensuring that we have the resources to execute through this next phase with focus and discipline.</w:t>
      </w:r>
    </w:p>
    <w:p>
      <w:pPr>
        <w:spacing w:after="0" w:line="276" w:lineRule="exact"/>
        <w:rPr>
          <w:sz w:val="20"/>
          <w:szCs w:val="20"/>
          <w:color w:val="auto"/>
        </w:rPr>
      </w:pPr>
    </w:p>
    <w:p>
      <w:pPr>
        <w:jc w:val="both"/>
        <w:ind w:right="60"/>
        <w:spacing w:after="0" w:line="257" w:lineRule="exact"/>
        <w:rPr>
          <w:sz w:val="20"/>
          <w:szCs w:val="20"/>
          <w:color w:val="auto"/>
        </w:rPr>
      </w:pPr>
      <w:r>
        <w:rPr>
          <w:rFonts w:ascii="Arial" w:cs="Arial" w:eastAsia="Arial" w:hAnsi="Arial"/>
          <w:sz w:val="19"/>
          <w:szCs w:val="19"/>
          <w:color w:val="FFFFFF"/>
        </w:rPr>
        <w:t xml:space="preserve">Biopharmaceutical development requires patience and resilience. In our journey, we continue to follow what I like to call </w:t>
      </w:r>
      <w:r>
        <w:rPr>
          <w:rFonts w:ascii="Arial" w:cs="Arial" w:eastAsia="Arial" w:hAnsi="Arial"/>
          <w:sz w:val="19"/>
          <w:szCs w:val="19"/>
          <w:i w:val="1"/>
          <w:iCs w:val="1"/>
          <w:color w:val="FFFFFF"/>
        </w:rPr>
        <w:t>the gentle arrows of science</w:t>
      </w:r>
      <w:r>
        <w:rPr>
          <w:rFonts w:ascii="Arial" w:cs="Arial" w:eastAsia="Arial" w:hAnsi="Arial"/>
          <w:sz w:val="19"/>
          <w:szCs w:val="19"/>
          <w:color w:val="FFFFFF"/>
        </w:rPr>
        <w:t xml:space="preserve"> where progress unfolds over extended periods and with moments of clarity emerging only after thoughtful and sustained effort. We believe 2025 (building as it does on our choices made in 2023 and 2024) was an important step in this process and that 2026 will be </w:t>
      </w:r>
      <w:r>
        <w:rPr>
          <w:rFonts w:ascii="Arial" w:cs="Arial" w:eastAsia="Arial" w:hAnsi="Arial"/>
          <w:sz w:val="19"/>
          <w:szCs w:val="19"/>
          <w:color w:val="FFFFFF"/>
        </w:rPr>
        <w:t>Ə</w:t>
      </w:r>
      <w:r>
        <w:rPr>
          <w:rFonts w:ascii="PMingLiU" w:cs="PMingLiU" w:eastAsia="PMingLiU" w:hAnsi="PMingLiU"/>
          <w:sz w:val="19"/>
          <w:szCs w:val="19"/>
          <w:color w:val="FFFFFF"/>
        </w:rPr>
        <w:t/>
      </w:r>
      <w:r>
        <w:rPr>
          <w:rFonts w:ascii="Arial" w:cs="Arial" w:eastAsia="Arial" w:hAnsi="Arial"/>
          <w:sz w:val="19"/>
          <w:szCs w:val="19"/>
          <w:color w:val="FFFFFF"/>
        </w:rPr>
        <w:t>ƳƺˡȇǣȇǕ</w:t>
      </w:r>
      <w:r>
        <w:rPr>
          <w:rFonts w:ascii="PMingLiU" w:cs="PMingLiU" w:eastAsia="PMingLiU" w:hAnsi="PMingLiU"/>
          <w:sz w:val="19"/>
          <w:szCs w:val="19"/>
          <w:color w:val="FFFFFF"/>
        </w:rPr>
        <w:t/>
      </w:r>
      <w:r>
        <w:rPr>
          <w:rFonts w:ascii="Arial" w:cs="Arial" w:eastAsia="Arial" w:hAnsi="Arial"/>
          <w:sz w:val="19"/>
          <w:szCs w:val="19"/>
          <w:color w:val="FFFFFF"/>
        </w:rPr>
        <w:t>ȵƺȸǣȒƳ</w:t>
      </w:r>
      <w:r>
        <w:rPr>
          <w:rFonts w:ascii="PMingLiU" w:cs="PMingLiU" w:eastAsia="PMingLiU" w:hAnsi="PMingLiU"/>
          <w:sz w:val="19"/>
          <w:szCs w:val="19"/>
          <w:color w:val="FFFFFF"/>
        </w:rPr>
        <w:t/>
      </w:r>
      <w:r>
        <w:rPr>
          <w:rFonts w:ascii="Arial" w:cs="Arial" w:eastAsia="Arial" w:hAnsi="Arial"/>
          <w:sz w:val="19"/>
          <w:szCs w:val="19"/>
          <w:color w:val="FFFFFF"/>
        </w:rPr>
        <w:t>Ȓǔ</w:t>
      </w:r>
      <w:r>
        <w:rPr>
          <w:rFonts w:ascii="PMingLiU" w:cs="PMingLiU" w:eastAsia="PMingLiU" w:hAnsi="PMingLiU"/>
          <w:sz w:val="19"/>
          <w:szCs w:val="19"/>
          <w:color w:val="FFFFFF"/>
        </w:rPr>
        <w:t/>
      </w:r>
      <w:r>
        <w:rPr>
          <w:rFonts w:ascii="Arial" w:cs="Arial" w:eastAsia="Arial" w:hAnsi="Arial"/>
          <w:sz w:val="19"/>
          <w:szCs w:val="19"/>
          <w:color w:val="FFFFFF"/>
        </w:rPr>
        <w:t>ǼƺƏȸȇǣȇǕ</w:t>
      </w:r>
      <w:r>
        <w:rPr>
          <w:rFonts w:ascii="PMingLiU" w:cs="PMingLiU" w:eastAsia="PMingLiU" w:hAnsi="PMingLiU"/>
          <w:sz w:val="19"/>
          <w:szCs w:val="19"/>
          <w:color w:val="FFFFFF"/>
        </w:rPr>
        <w:t/>
      </w:r>
      <w:r>
        <w:rPr>
          <w:rFonts w:ascii="Arial" w:cs="Arial" w:eastAsia="Arial" w:hAnsi="Arial"/>
          <w:sz w:val="19"/>
          <w:szCs w:val="19"/>
          <w:color w:val="FFFFFF"/>
        </w:rPr>
        <w:t>ƏȇƳً</w:t>
      </w:r>
      <w:r>
        <w:rPr>
          <w:rFonts w:ascii="PMingLiU" w:cs="PMingLiU" w:eastAsia="PMingLiU" w:hAnsi="PMingLiU"/>
          <w:sz w:val="19"/>
          <w:szCs w:val="19"/>
          <w:color w:val="FFFFFF"/>
        </w:rPr>
        <w:t/>
      </w:r>
      <w:r>
        <w:rPr>
          <w:rFonts w:ascii="Arial" w:cs="Arial" w:eastAsia="Arial" w:hAnsi="Arial"/>
          <w:sz w:val="19"/>
          <w:szCs w:val="19"/>
          <w:color w:val="FFFFFF"/>
        </w:rPr>
        <w:t>ɯƺ</w:t>
      </w:r>
      <w:r>
        <w:rPr>
          <w:rFonts w:ascii="PMingLiU" w:cs="PMingLiU" w:eastAsia="PMingLiU" w:hAnsi="PMingLiU"/>
          <w:sz w:val="19"/>
          <w:szCs w:val="19"/>
          <w:color w:val="FFFFFF"/>
        </w:rPr>
        <w:t/>
      </w:r>
      <w:r>
        <w:rPr>
          <w:rFonts w:ascii="Arial" w:cs="Arial" w:eastAsia="Arial" w:hAnsi="Arial"/>
          <w:sz w:val="19"/>
          <w:szCs w:val="19"/>
          <w:color w:val="FFFFFF"/>
        </w:rPr>
        <w:t>ǝȒȵƺً</w:t>
      </w:r>
      <w:r>
        <w:rPr>
          <w:rFonts w:ascii="PMingLiU" w:cs="PMingLiU" w:eastAsia="PMingLiU" w:hAnsi="PMingLiU"/>
          <w:sz w:val="19"/>
          <w:szCs w:val="19"/>
          <w:color w:val="FFFFFF"/>
        </w:rPr>
        <w:t/>
      </w:r>
      <w:r>
        <w:rPr>
          <w:rFonts w:ascii="Arial" w:cs="Arial" w:eastAsia="Arial" w:hAnsi="Arial"/>
          <w:sz w:val="19"/>
          <w:szCs w:val="19"/>
          <w:color w:val="FFFFFF"/>
        </w:rPr>
        <w:t>Ȓǔ</w:t>
      </w:r>
      <w:r>
        <w:rPr>
          <w:rFonts w:ascii="PMingLiU" w:cs="PMingLiU" w:eastAsia="PMingLiU" w:hAnsi="PMingLiU"/>
          <w:sz w:val="19"/>
          <w:szCs w:val="19"/>
          <w:color w:val="FFFFFF"/>
        </w:rPr>
        <w:t/>
      </w:r>
      <w:r>
        <w:rPr>
          <w:rFonts w:ascii="Arial" w:cs="Arial" w:eastAsia="Arial" w:hAnsi="Arial"/>
          <w:sz w:val="19"/>
          <w:szCs w:val="19"/>
          <w:color w:val="FFFFFF"/>
        </w:rPr>
        <w:t>ɮƏǼǣƳƏɎǣȒȇ</w:t>
      </w:r>
      <w:r>
        <w:rPr>
          <w:rFonts w:ascii="PMingLiU" w:cs="PMingLiU" w:eastAsia="PMingLiU" w:hAnsi="PMingLiU"/>
          <w:sz w:val="19"/>
          <w:szCs w:val="19"/>
          <w:color w:val="FFFFFF"/>
        </w:rPr>
        <w:t/>
      </w:r>
      <w:r>
        <w:rPr>
          <w:rFonts w:ascii="Arial" w:cs="Arial" w:eastAsia="Arial" w:hAnsi="Arial"/>
          <w:sz w:val="19"/>
          <w:szCs w:val="19"/>
          <w:color w:val="FFFFFF"/>
        </w:rPr>
        <w:t>ǔȒȸ</w:t>
      </w:r>
      <w:r>
        <w:rPr>
          <w:rFonts w:ascii="PMingLiU" w:cs="PMingLiU" w:eastAsia="PMingLiU" w:hAnsi="PMingLiU"/>
          <w:sz w:val="19"/>
          <w:szCs w:val="19"/>
          <w:color w:val="FFFFFF"/>
        </w:rPr>
        <w:t/>
      </w:r>
      <w:r>
        <w:rPr>
          <w:rFonts w:ascii="Arial" w:cs="Arial" w:eastAsia="Arial" w:hAnsi="Arial"/>
          <w:sz w:val="19"/>
          <w:szCs w:val="19"/>
          <w:color w:val="FFFFFF"/>
        </w:rPr>
        <w:t>kȒƳǣƏǸِ</w:t>
      </w:r>
    </w:p>
    <w:p>
      <w:pPr>
        <w:spacing w:after="0" w:line="276" w:lineRule="exact"/>
        <w:rPr>
          <w:sz w:val="20"/>
          <w:szCs w:val="20"/>
          <w:color w:val="auto"/>
        </w:rPr>
      </w:pPr>
    </w:p>
    <w:p>
      <w:pPr>
        <w:jc w:val="both"/>
        <w:ind w:right="60"/>
        <w:spacing w:after="0" w:line="293" w:lineRule="auto"/>
        <w:rPr>
          <w:sz w:val="20"/>
          <w:szCs w:val="20"/>
          <w:color w:val="auto"/>
        </w:rPr>
      </w:pPr>
      <w:r>
        <w:rPr>
          <w:rFonts w:ascii="Arial" w:cs="Arial" w:eastAsia="Arial" w:hAnsi="Arial"/>
          <w:sz w:val="19"/>
          <w:szCs w:val="19"/>
          <w:color w:val="FFFFFF"/>
        </w:rPr>
        <w:t>We enter 2026 with more to show than we had a year ago: a portfolio of late-stage investigational therapies with compelling early signals, an emerging and diverse early pipeline and enabling sensor technologies that bridge retina into cognitive science and broaden our long-term opportunity. Our team has earned the right to be optimistic about what comes next. Important work remains, and we hold our expectations with appropriate humility. We are genuinely excited about the year ahead.</w:t>
      </w:r>
    </w:p>
    <w:p>
      <w:pPr>
        <w:spacing w:after="0" w:line="226" w:lineRule="exact"/>
        <w:rPr>
          <w:sz w:val="20"/>
          <w:szCs w:val="20"/>
          <w:color w:val="auto"/>
        </w:rPr>
      </w:pPr>
    </w:p>
    <w:p>
      <w:pPr>
        <w:jc w:val="both"/>
        <w:ind w:right="20"/>
        <w:spacing w:after="0" w:line="255" w:lineRule="exact"/>
        <w:rPr>
          <w:sz w:val="20"/>
          <w:szCs w:val="20"/>
          <w:color w:val="auto"/>
        </w:rPr>
      </w:pPr>
      <w:r>
        <w:rPr>
          <w:rFonts w:ascii="Arial" w:cs="Arial" w:eastAsia="Arial" w:hAnsi="Arial"/>
          <w:sz w:val="17"/>
          <w:szCs w:val="17"/>
          <w:color w:val="FFFFFF"/>
        </w:rPr>
        <w:t xml:space="preserve">We are grateful to our employees, clinical partners and the many patients for their continued </w:t>
      </w:r>
      <w:r>
        <w:rPr>
          <w:rFonts w:ascii="Arial" w:cs="Arial" w:eastAsia="Arial" w:hAnsi="Arial"/>
          <w:sz w:val="17"/>
          <w:szCs w:val="17"/>
          <w:color w:val="FFFFFF"/>
        </w:rPr>
        <w:t>ƬȒȅȅǣɎȅƺȇɎِ</w:t>
      </w:r>
      <w:r>
        <w:rPr>
          <w:rFonts w:ascii="PMingLiU" w:cs="PMingLiU" w:eastAsia="PMingLiU" w:hAnsi="PMingLiU"/>
          <w:sz w:val="17"/>
          <w:szCs w:val="17"/>
          <w:color w:val="FFFFFF"/>
        </w:rPr>
        <w:t/>
      </w:r>
      <w:r>
        <w:rPr>
          <w:rFonts w:ascii="Arial" w:cs="Arial" w:eastAsia="Arial" w:hAnsi="Arial"/>
          <w:sz w:val="17"/>
          <w:szCs w:val="17"/>
          <w:color w:val="FFFFFF"/>
        </w:rPr>
        <w:t>Áǝƺǣȸ</w:t>
      </w:r>
      <w:r>
        <w:rPr>
          <w:rFonts w:ascii="PMingLiU" w:cs="PMingLiU" w:eastAsia="PMingLiU" w:hAnsi="PMingLiU"/>
          <w:sz w:val="17"/>
          <w:szCs w:val="17"/>
          <w:color w:val="FFFFFF"/>
        </w:rPr>
        <w:t/>
      </w:r>
      <w:r>
        <w:rPr>
          <w:rFonts w:ascii="Arial" w:cs="Arial" w:eastAsia="Arial" w:hAnsi="Arial"/>
          <w:sz w:val="17"/>
          <w:szCs w:val="17"/>
          <w:color w:val="FFFFFF"/>
        </w:rPr>
        <w:t>ƺǔǔȒȸɎɀ</w:t>
      </w:r>
      <w:r>
        <w:rPr>
          <w:rFonts w:ascii="PMingLiU" w:cs="PMingLiU" w:eastAsia="PMingLiU" w:hAnsi="PMingLiU"/>
          <w:sz w:val="17"/>
          <w:szCs w:val="17"/>
          <w:color w:val="FFFFFF"/>
        </w:rPr>
        <w:t/>
      </w:r>
      <w:r>
        <w:rPr>
          <w:rFonts w:ascii="Arial" w:cs="Arial" w:eastAsia="Arial" w:hAnsi="Arial"/>
          <w:sz w:val="17"/>
          <w:szCs w:val="17"/>
          <w:color w:val="FFFFFF"/>
        </w:rPr>
        <w:t>ȅƏǸƺ</w:t>
      </w:r>
      <w:r>
        <w:rPr>
          <w:rFonts w:ascii="PMingLiU" w:cs="PMingLiU" w:eastAsia="PMingLiU" w:hAnsi="PMingLiU"/>
          <w:sz w:val="17"/>
          <w:szCs w:val="17"/>
          <w:color w:val="FFFFFF"/>
        </w:rPr>
        <w:t/>
      </w:r>
      <w:r>
        <w:rPr>
          <w:rFonts w:ascii="Arial" w:cs="Arial" w:eastAsia="Arial" w:hAnsi="Arial"/>
          <w:sz w:val="17"/>
          <w:szCs w:val="17"/>
          <w:color w:val="FFFFFF"/>
        </w:rPr>
        <w:t>Ɏǝǣɀ</w:t>
      </w:r>
      <w:r>
        <w:rPr>
          <w:rFonts w:ascii="PMingLiU" w:cs="PMingLiU" w:eastAsia="PMingLiU" w:hAnsi="PMingLiU"/>
          <w:sz w:val="17"/>
          <w:szCs w:val="17"/>
          <w:color w:val="FFFFFF"/>
        </w:rPr>
        <w:t/>
      </w:r>
      <w:r>
        <w:rPr>
          <w:rFonts w:ascii="Arial" w:cs="Arial" w:eastAsia="Arial" w:hAnsi="Arial"/>
          <w:sz w:val="17"/>
          <w:szCs w:val="17"/>
          <w:color w:val="FFFFFF"/>
        </w:rPr>
        <w:t>ɯȒȸǸ</w:t>
      </w:r>
      <w:r>
        <w:rPr>
          <w:rFonts w:ascii="PMingLiU" w:cs="PMingLiU" w:eastAsia="PMingLiU" w:hAnsi="PMingLiU"/>
          <w:sz w:val="17"/>
          <w:szCs w:val="17"/>
          <w:color w:val="FFFFFF"/>
        </w:rPr>
        <w:t/>
      </w:r>
      <w:r>
        <w:rPr>
          <w:rFonts w:ascii="Arial" w:cs="Arial" w:eastAsia="Arial" w:hAnsi="Arial"/>
          <w:sz w:val="17"/>
          <w:szCs w:val="17"/>
          <w:color w:val="FFFFFF"/>
        </w:rPr>
        <w:t>ȵȒɀɀǣƫǼƺً</w:t>
      </w:r>
      <w:r>
        <w:rPr>
          <w:rFonts w:ascii="PMingLiU" w:cs="PMingLiU" w:eastAsia="PMingLiU" w:hAnsi="PMingLiU"/>
          <w:sz w:val="17"/>
          <w:szCs w:val="17"/>
          <w:color w:val="FFFFFF"/>
        </w:rPr>
        <w:t/>
      </w:r>
      <w:r>
        <w:rPr>
          <w:rFonts w:ascii="Arial" w:cs="Arial" w:eastAsia="Arial" w:hAnsi="Arial"/>
          <w:sz w:val="17"/>
          <w:szCs w:val="17"/>
          <w:color w:val="FFFFFF"/>
        </w:rPr>
        <w:t>ƏȇƳ</w:t>
      </w:r>
      <w:r>
        <w:rPr>
          <w:rFonts w:ascii="PMingLiU" w:cs="PMingLiU" w:eastAsia="PMingLiU" w:hAnsi="PMingLiU"/>
          <w:sz w:val="17"/>
          <w:szCs w:val="17"/>
          <w:color w:val="FFFFFF"/>
        </w:rPr>
        <w:t/>
      </w:r>
      <w:r>
        <w:rPr>
          <w:rFonts w:ascii="Arial" w:cs="Arial" w:eastAsia="Arial" w:hAnsi="Arial"/>
          <w:sz w:val="17"/>
          <w:szCs w:val="17"/>
          <w:color w:val="FFFFFF"/>
        </w:rPr>
        <w:t>Ɏǝƺǣȸ</w:t>
      </w:r>
      <w:r>
        <w:rPr>
          <w:rFonts w:ascii="PMingLiU" w:cs="PMingLiU" w:eastAsia="PMingLiU" w:hAnsi="PMingLiU"/>
          <w:sz w:val="17"/>
          <w:szCs w:val="17"/>
          <w:color w:val="FFFFFF"/>
        </w:rPr>
        <w:t/>
      </w:r>
      <w:r>
        <w:rPr>
          <w:rFonts w:ascii="Arial" w:cs="Arial" w:eastAsia="Arial" w:hAnsi="Arial"/>
          <w:sz w:val="17"/>
          <w:szCs w:val="17"/>
          <w:color w:val="FFFFFF"/>
        </w:rPr>
        <w:t>ƳƺƳǣƬƏɎǣȒȇ</w:t>
      </w:r>
      <w:r>
        <w:rPr>
          <w:rFonts w:ascii="PMingLiU" w:cs="PMingLiU" w:eastAsia="PMingLiU" w:hAnsi="PMingLiU"/>
          <w:sz w:val="17"/>
          <w:szCs w:val="17"/>
          <w:color w:val="FFFFFF"/>
        </w:rPr>
        <w:t/>
      </w:r>
      <w:r>
        <w:rPr>
          <w:rFonts w:ascii="Arial" w:cs="Arial" w:eastAsia="Arial" w:hAnsi="Arial"/>
          <w:sz w:val="17"/>
          <w:szCs w:val="17"/>
          <w:color w:val="FFFFFF"/>
        </w:rPr>
        <w:t>ɎȒ</w:t>
      </w:r>
      <w:r>
        <w:rPr>
          <w:rFonts w:ascii="PMingLiU" w:cs="PMingLiU" w:eastAsia="PMingLiU" w:hAnsi="PMingLiU"/>
          <w:sz w:val="17"/>
          <w:szCs w:val="17"/>
          <w:color w:val="FFFFFF"/>
        </w:rPr>
        <w:t/>
      </w:r>
      <w:r>
        <w:rPr>
          <w:rFonts w:ascii="Arial" w:cs="Arial" w:eastAsia="Arial" w:hAnsi="Arial"/>
          <w:sz w:val="17"/>
          <w:szCs w:val="17"/>
          <w:color w:val="FFFFFF"/>
        </w:rPr>
        <w:t>ǣȅȵȸȒɮǣȇǕ</w:t>
      </w:r>
      <w:r>
        <w:rPr>
          <w:rFonts w:ascii="PMingLiU" w:cs="PMingLiU" w:eastAsia="PMingLiU" w:hAnsi="PMingLiU"/>
          <w:sz w:val="17"/>
          <w:szCs w:val="17"/>
          <w:color w:val="FFFFFF"/>
        </w:rPr>
        <w:t/>
      </w:r>
      <w:r>
        <w:rPr>
          <w:rFonts w:ascii="Arial" w:cs="Arial" w:eastAsia="Arial" w:hAnsi="Arial"/>
          <w:sz w:val="17"/>
          <w:szCs w:val="17"/>
          <w:color w:val="FFFFFF"/>
        </w:rPr>
        <w:t>ȒɖɎƬȒȅƺɀ</w:t>
      </w:r>
      <w:r>
        <w:rPr>
          <w:rFonts w:ascii="PMingLiU" w:cs="PMingLiU" w:eastAsia="PMingLiU" w:hAnsi="PMingLiU"/>
          <w:sz w:val="17"/>
          <w:szCs w:val="17"/>
          <w:color w:val="FFFFFF"/>
        </w:rPr>
        <w:t/>
      </w:r>
      <w:r>
        <w:rPr>
          <w:rFonts w:ascii="Arial" w:cs="Arial" w:eastAsia="Arial" w:hAnsi="Arial"/>
          <w:sz w:val="17"/>
          <w:szCs w:val="17"/>
          <w:color w:val="FFFFFF"/>
        </w:rPr>
        <w:t>ǔȒȸ</w:t>
      </w:r>
      <w:r>
        <w:rPr>
          <w:rFonts w:ascii="PMingLiU" w:cs="PMingLiU" w:eastAsia="PMingLiU" w:hAnsi="PMingLiU"/>
          <w:sz w:val="17"/>
          <w:szCs w:val="17"/>
          <w:color w:val="FFFFFF"/>
        </w:rPr>
        <w:t/>
      </w:r>
      <w:r>
        <w:rPr>
          <w:rFonts w:ascii="Arial" w:cs="Arial" w:eastAsia="Arial" w:hAnsi="Arial"/>
          <w:sz w:val="17"/>
          <w:szCs w:val="17"/>
          <w:color w:val="FFFFFF"/>
        </w:rPr>
        <w:t xml:space="preserve"> </w:t>
      </w:r>
      <w:r>
        <w:rPr>
          <w:rFonts w:ascii="Arial" w:cs="Arial" w:eastAsia="Arial" w:hAnsi="Arial"/>
          <w:sz w:val="17"/>
          <w:szCs w:val="17"/>
          <w:color w:val="FFFFFF"/>
        </w:rPr>
        <w:t>people living with retinal disease is what drives us every day.</w:t>
      </w:r>
    </w:p>
    <w:p>
      <w:pPr>
        <w:spacing w:after="0" w:line="276" w:lineRule="exact"/>
        <w:rPr>
          <w:sz w:val="20"/>
          <w:szCs w:val="20"/>
          <w:color w:val="auto"/>
        </w:rPr>
      </w:pPr>
    </w:p>
    <w:p>
      <w:pPr>
        <w:jc w:val="both"/>
        <w:ind w:right="20"/>
        <w:spacing w:after="0" w:line="253" w:lineRule="exact"/>
        <w:rPr>
          <w:sz w:val="20"/>
          <w:szCs w:val="20"/>
          <w:color w:val="auto"/>
        </w:rPr>
      </w:pPr>
      <w:r>
        <w:rPr>
          <w:rFonts w:ascii="PMingLiU" w:cs="PMingLiU" w:eastAsia="PMingLiU" w:hAnsi="PMingLiU"/>
          <w:sz w:val="18"/>
          <w:szCs w:val="18"/>
          <w:color w:val="FFFFFF"/>
        </w:rPr>
        <w:t/>
      </w:r>
      <w:r>
        <w:rPr>
          <w:rFonts w:ascii="Arial" w:cs="Arial" w:eastAsia="Arial" w:hAnsi="Arial"/>
          <w:sz w:val="18"/>
          <w:szCs w:val="18"/>
          <w:color w:val="FFFFFF"/>
        </w:rPr>
        <w:t>ɵƺƏȸ</w:t>
      </w:r>
      <w:r>
        <w:rPr>
          <w:rFonts w:ascii="PMingLiU" w:cs="PMingLiU" w:eastAsia="PMingLiU" w:hAnsi="PMingLiU"/>
          <w:sz w:val="18"/>
          <w:szCs w:val="18"/>
          <w:color w:val="FFFFFF"/>
        </w:rPr>
        <w:t/>
      </w:r>
      <w:r>
        <w:rPr>
          <w:rFonts w:ascii="Arial" w:cs="Arial" w:eastAsia="Arial" w:hAnsi="Arial"/>
          <w:sz w:val="18"/>
          <w:szCs w:val="18"/>
          <w:color w:val="FFFFFF"/>
        </w:rPr>
        <w:t>ƏǕȒً</w:t>
      </w:r>
      <w:r>
        <w:rPr>
          <w:rFonts w:ascii="PMingLiU" w:cs="PMingLiU" w:eastAsia="PMingLiU" w:hAnsi="PMingLiU"/>
          <w:sz w:val="18"/>
          <w:szCs w:val="18"/>
          <w:color w:val="FFFFFF"/>
        </w:rPr>
        <w:t/>
      </w:r>
      <w:r>
        <w:rPr>
          <w:rFonts w:ascii="Arial" w:cs="Arial" w:eastAsia="Arial" w:hAnsi="Arial"/>
          <w:sz w:val="18"/>
          <w:szCs w:val="18"/>
          <w:color w:val="FFFFFF"/>
        </w:rPr>
        <w:t>ɯƺ</w:t>
      </w:r>
      <w:r>
        <w:rPr>
          <w:rFonts w:ascii="PMingLiU" w:cs="PMingLiU" w:eastAsia="PMingLiU" w:hAnsi="PMingLiU"/>
          <w:sz w:val="18"/>
          <w:szCs w:val="18"/>
          <w:color w:val="FFFFFF"/>
        </w:rPr>
        <w:t/>
      </w:r>
      <w:r>
        <w:rPr>
          <w:rFonts w:ascii="Arial" w:cs="Arial" w:eastAsia="Arial" w:hAnsi="Arial"/>
          <w:sz w:val="18"/>
          <w:szCs w:val="18"/>
          <w:color w:val="FFFFFF"/>
        </w:rPr>
        <w:t>ƏɀǸƺƳ</w:t>
      </w:r>
      <w:r>
        <w:rPr>
          <w:rFonts w:ascii="PMingLiU" w:cs="PMingLiU" w:eastAsia="PMingLiU" w:hAnsi="PMingLiU"/>
          <w:sz w:val="18"/>
          <w:szCs w:val="18"/>
          <w:color w:val="FFFFFF"/>
        </w:rPr>
        <w:t/>
      </w:r>
      <w:r>
        <w:rPr>
          <w:rFonts w:ascii="Arial" w:cs="Arial" w:eastAsia="Arial" w:hAnsi="Arial"/>
          <w:sz w:val="18"/>
          <w:szCs w:val="18"/>
          <w:color w:val="FFFFFF"/>
        </w:rPr>
        <w:t>ɵȒɖ</w:t>
      </w:r>
      <w:r>
        <w:rPr>
          <w:rFonts w:ascii="PMingLiU" w:cs="PMingLiU" w:eastAsia="PMingLiU" w:hAnsi="PMingLiU"/>
          <w:sz w:val="18"/>
          <w:szCs w:val="18"/>
          <w:color w:val="FFFFFF"/>
        </w:rPr>
        <w:t/>
      </w:r>
      <w:r>
        <w:rPr>
          <w:rFonts w:ascii="Arial" w:cs="Arial" w:eastAsia="Arial" w:hAnsi="Arial"/>
          <w:sz w:val="18"/>
          <w:szCs w:val="18"/>
          <w:color w:val="FFFFFF"/>
        </w:rPr>
        <w:t>ɎȒ</w:t>
      </w:r>
      <w:r>
        <w:rPr>
          <w:rFonts w:ascii="PMingLiU" w:cs="PMingLiU" w:eastAsia="PMingLiU" w:hAnsi="PMingLiU"/>
          <w:sz w:val="18"/>
          <w:szCs w:val="18"/>
          <w:color w:val="FFFFFF"/>
        </w:rPr>
        <w:t/>
      </w:r>
      <w:r>
        <w:rPr>
          <w:rFonts w:ascii="Arial" w:cs="Arial" w:eastAsia="Arial" w:hAnsi="Arial"/>
          <w:sz w:val="18"/>
          <w:szCs w:val="18"/>
          <w:color w:val="FFFFFF"/>
        </w:rPr>
        <w:t>ǼȒȒǸ</w:t>
      </w:r>
      <w:r>
        <w:rPr>
          <w:rFonts w:ascii="PMingLiU" w:cs="PMingLiU" w:eastAsia="PMingLiU" w:hAnsi="PMingLiU"/>
          <w:sz w:val="18"/>
          <w:szCs w:val="18"/>
          <w:color w:val="FFFFFF"/>
        </w:rPr>
        <w:t/>
      </w:r>
      <w:r>
        <w:rPr>
          <w:rFonts w:ascii="Arial" w:cs="Arial" w:eastAsia="Arial" w:hAnsi="Arial"/>
          <w:sz w:val="18"/>
          <w:szCs w:val="18"/>
          <w:color w:val="FFFFFF"/>
        </w:rPr>
        <w:t>ƏɎ</w:t>
      </w:r>
      <w:r>
        <w:rPr>
          <w:rFonts w:ascii="PMingLiU" w:cs="PMingLiU" w:eastAsia="PMingLiU" w:hAnsi="PMingLiU"/>
          <w:sz w:val="18"/>
          <w:szCs w:val="18"/>
          <w:color w:val="FFFFFF"/>
        </w:rPr>
        <w:t/>
      </w:r>
      <w:r>
        <w:rPr>
          <w:rFonts w:ascii="Arial" w:cs="Arial" w:eastAsia="Arial" w:hAnsi="Arial"/>
          <w:sz w:val="18"/>
          <w:szCs w:val="18"/>
          <w:color w:val="FFFFFF"/>
        </w:rPr>
        <w:t>kȒƳǣƏǸ</w:t>
      </w:r>
      <w:r>
        <w:rPr>
          <w:rFonts w:ascii="PMingLiU" w:cs="PMingLiU" w:eastAsia="PMingLiU" w:hAnsi="PMingLiU"/>
          <w:sz w:val="18"/>
          <w:szCs w:val="18"/>
          <w:color w:val="FFFFFF"/>
        </w:rPr>
        <w:t/>
      </w:r>
      <w:r>
        <w:rPr>
          <w:rFonts w:ascii="Arial" w:cs="Arial" w:eastAsia="Arial" w:hAnsi="Arial"/>
          <w:sz w:val="18"/>
          <w:szCs w:val="18"/>
          <w:color w:val="FFFFFF"/>
        </w:rPr>
        <w:t>ɯǣɎǝ</w:t>
      </w:r>
      <w:r>
        <w:rPr>
          <w:rFonts w:ascii="PMingLiU" w:cs="PMingLiU" w:eastAsia="PMingLiU" w:hAnsi="PMingLiU"/>
          <w:sz w:val="18"/>
          <w:szCs w:val="18"/>
          <w:color w:val="FFFFFF"/>
        </w:rPr>
        <w:t/>
      </w:r>
      <w:r>
        <w:rPr>
          <w:rFonts w:ascii="Arial" w:cs="Arial" w:eastAsia="Arial" w:hAnsi="Arial"/>
          <w:sz w:val="18"/>
          <w:szCs w:val="18"/>
          <w:color w:val="FFFFFF"/>
        </w:rPr>
        <w:t>ǔȸƺɀǝ</w:t>
      </w:r>
      <w:r>
        <w:rPr>
          <w:rFonts w:ascii="PMingLiU" w:cs="PMingLiU" w:eastAsia="PMingLiU" w:hAnsi="PMingLiU"/>
          <w:sz w:val="18"/>
          <w:szCs w:val="18"/>
          <w:color w:val="FFFFFF"/>
        </w:rPr>
        <w:t/>
      </w:r>
      <w:r>
        <w:rPr>
          <w:rFonts w:ascii="Arial" w:cs="Arial" w:eastAsia="Arial" w:hAnsi="Arial"/>
          <w:sz w:val="18"/>
          <w:szCs w:val="18"/>
          <w:color w:val="FFFFFF"/>
        </w:rPr>
        <w:t>ƺɵƺɀِ</w:t>
      </w:r>
      <w:r>
        <w:rPr>
          <w:rFonts w:ascii="PMingLiU" w:cs="PMingLiU" w:eastAsia="PMingLiU" w:hAnsi="PMingLiU"/>
          <w:sz w:val="18"/>
          <w:szCs w:val="18"/>
          <w:color w:val="FFFFFF"/>
        </w:rPr>
        <w:t/>
      </w:r>
      <w:r>
        <w:rPr>
          <w:rFonts w:ascii="Arial" w:cs="Arial" w:eastAsia="Arial" w:hAnsi="Arial"/>
          <w:sz w:val="18"/>
          <w:szCs w:val="18"/>
          <w:color w:val="FFFFFF"/>
        </w:rPr>
        <w:t>ÁȒƳƏɵً</w:t>
      </w:r>
      <w:r>
        <w:rPr>
          <w:rFonts w:ascii="PMingLiU" w:cs="PMingLiU" w:eastAsia="PMingLiU" w:hAnsi="PMingLiU"/>
          <w:sz w:val="18"/>
          <w:szCs w:val="18"/>
          <w:color w:val="FFFFFF"/>
        </w:rPr>
        <w:t/>
      </w:r>
      <w:r>
        <w:rPr>
          <w:rFonts w:ascii="Arial" w:cs="Arial" w:eastAsia="Arial" w:hAnsi="Arial"/>
          <w:sz w:val="18"/>
          <w:szCs w:val="18"/>
          <w:color w:val="FFFFFF"/>
        </w:rPr>
        <w:t>ɯƺ</w:t>
      </w:r>
      <w:r>
        <w:rPr>
          <w:rFonts w:ascii="PMingLiU" w:cs="PMingLiU" w:eastAsia="PMingLiU" w:hAnsi="PMingLiU"/>
          <w:sz w:val="18"/>
          <w:szCs w:val="18"/>
          <w:color w:val="FFFFFF"/>
        </w:rPr>
        <w:t/>
      </w:r>
      <w:r>
        <w:rPr>
          <w:rFonts w:ascii="Arial" w:cs="Arial" w:eastAsia="Arial" w:hAnsi="Arial"/>
          <w:sz w:val="18"/>
          <w:szCs w:val="18"/>
          <w:color w:val="FFFFFF"/>
        </w:rPr>
        <w:t>ƫƺǼǣƺɮƺ</w:t>
      </w:r>
      <w:r>
        <w:rPr>
          <w:rFonts w:ascii="PMingLiU" w:cs="PMingLiU" w:eastAsia="PMingLiU" w:hAnsi="PMingLiU"/>
          <w:sz w:val="18"/>
          <w:szCs w:val="18"/>
          <w:color w:val="FFFFFF"/>
        </w:rPr>
        <w:t/>
      </w:r>
      <w:r>
        <w:rPr>
          <w:rFonts w:ascii="Arial" w:cs="Arial" w:eastAsia="Arial" w:hAnsi="Arial"/>
          <w:sz w:val="18"/>
          <w:szCs w:val="18"/>
          <w:color w:val="FFFFFF"/>
        </w:rPr>
        <w:t>Ɏǝƺȸƺ</w:t>
      </w:r>
      <w:r>
        <w:rPr>
          <w:rFonts w:ascii="PMingLiU" w:cs="PMingLiU" w:eastAsia="PMingLiU" w:hAnsi="PMingLiU"/>
          <w:sz w:val="18"/>
          <w:szCs w:val="18"/>
          <w:color w:val="FFFFFF"/>
        </w:rPr>
        <w:t/>
      </w:r>
      <w:r>
        <w:rPr>
          <w:rFonts w:ascii="Arial" w:cs="Arial" w:eastAsia="Arial" w:hAnsi="Arial"/>
          <w:sz w:val="18"/>
          <w:szCs w:val="18"/>
          <w:color w:val="FFFFFF"/>
        </w:rPr>
        <w:t>ǣɀ</w:t>
      </w:r>
      <w:r>
        <w:rPr>
          <w:rFonts w:ascii="PMingLiU" w:cs="PMingLiU" w:eastAsia="PMingLiU" w:hAnsi="PMingLiU"/>
          <w:sz w:val="18"/>
          <w:szCs w:val="18"/>
          <w:color w:val="FFFFFF"/>
        </w:rPr>
        <w:t/>
      </w:r>
      <w:r>
        <w:rPr>
          <w:rFonts w:ascii="Arial" w:cs="Arial" w:eastAsia="Arial" w:hAnsi="Arial"/>
          <w:sz w:val="18"/>
          <w:szCs w:val="18"/>
          <w:color w:val="FFFFFF"/>
        </w:rPr>
        <w:t>ƺɮƺȇ</w:t>
      </w:r>
      <w:r>
        <w:rPr>
          <w:rFonts w:ascii="PMingLiU" w:cs="PMingLiU" w:eastAsia="PMingLiU" w:hAnsi="PMingLiU"/>
          <w:sz w:val="18"/>
          <w:szCs w:val="18"/>
          <w:color w:val="FFFFFF"/>
        </w:rPr>
        <w:t/>
      </w:r>
      <w:r>
        <w:rPr>
          <w:rFonts w:ascii="Arial" w:cs="Arial" w:eastAsia="Arial" w:hAnsi="Arial"/>
          <w:sz w:val="18"/>
          <w:szCs w:val="18"/>
          <w:color w:val="FFFFFF"/>
        </w:rPr>
        <w:t>ȅȒȸƺ</w:t>
      </w:r>
      <w:r>
        <w:rPr>
          <w:rFonts w:ascii="PMingLiU" w:cs="PMingLiU" w:eastAsia="PMingLiU" w:hAnsi="PMingLiU"/>
          <w:sz w:val="18"/>
          <w:szCs w:val="18"/>
          <w:color w:val="FFFFFF"/>
        </w:rPr>
        <w:t/>
      </w:r>
      <w:r>
        <w:rPr>
          <w:rFonts w:ascii="Arial" w:cs="Arial" w:eastAsia="Arial" w:hAnsi="Arial"/>
          <w:sz w:val="18"/>
          <w:szCs w:val="18"/>
          <w:color w:val="FFFFFF"/>
        </w:rPr>
        <w:t>ɎȒ</w:t>
      </w:r>
      <w:r>
        <w:rPr>
          <w:rFonts w:ascii="PMingLiU" w:cs="PMingLiU" w:eastAsia="PMingLiU" w:hAnsi="PMingLiU"/>
          <w:sz w:val="18"/>
          <w:szCs w:val="18"/>
          <w:color w:val="FFFFFF"/>
        </w:rPr>
        <w:t/>
      </w:r>
      <w:r>
        <w:rPr>
          <w:rFonts w:ascii="Arial" w:cs="Arial" w:eastAsia="Arial" w:hAnsi="Arial"/>
          <w:sz w:val="18"/>
          <w:szCs w:val="18"/>
          <w:color w:val="FFFFFF"/>
        </w:rPr>
        <w:t>ɀƺƺً</w:t>
      </w:r>
      <w:r>
        <w:rPr>
          <w:rFonts w:ascii="PMingLiU" w:cs="PMingLiU" w:eastAsia="PMingLiU" w:hAnsi="PMingLiU"/>
          <w:sz w:val="18"/>
          <w:szCs w:val="18"/>
          <w:color w:val="FFFFFF"/>
        </w:rPr>
        <w:t/>
      </w:r>
      <w:r>
        <w:rPr>
          <w:rFonts w:ascii="Arial" w:cs="Arial" w:eastAsia="Arial" w:hAnsi="Arial"/>
          <w:sz w:val="18"/>
          <w:szCs w:val="18"/>
          <w:color w:val="FFFFFF"/>
        </w:rPr>
        <w:t xml:space="preserve"> Ə</w:t>
      </w:r>
      <w:r>
        <w:rPr>
          <w:rFonts w:ascii="PMingLiU" w:cs="PMingLiU" w:eastAsia="PMingLiU" w:hAnsi="PMingLiU"/>
          <w:sz w:val="18"/>
          <w:szCs w:val="18"/>
          <w:color w:val="FFFFFF"/>
        </w:rPr>
        <w:t/>
      </w:r>
      <w:r>
        <w:rPr>
          <w:rFonts w:ascii="Arial" w:cs="Arial" w:eastAsia="Arial" w:hAnsi="Arial"/>
          <w:sz w:val="18"/>
          <w:szCs w:val="18"/>
          <w:color w:val="FFFFFF"/>
        </w:rPr>
        <w:t>ƬȒȅȵƏȇɵ</w:t>
      </w:r>
      <w:r>
        <w:rPr>
          <w:rFonts w:ascii="PMingLiU" w:cs="PMingLiU" w:eastAsia="PMingLiU" w:hAnsi="PMingLiU"/>
          <w:sz w:val="18"/>
          <w:szCs w:val="18"/>
          <w:color w:val="FFFFFF"/>
        </w:rPr>
        <w:t/>
      </w:r>
      <w:r>
        <w:rPr>
          <w:rFonts w:ascii="Arial" w:cs="Arial" w:eastAsia="Arial" w:hAnsi="Arial"/>
          <w:sz w:val="18"/>
          <w:szCs w:val="18"/>
          <w:color w:val="FFFFFF"/>
        </w:rPr>
        <w:t>ɯǣɎǝ</w:t>
      </w:r>
      <w:r>
        <w:rPr>
          <w:rFonts w:ascii="PMingLiU" w:cs="PMingLiU" w:eastAsia="PMingLiU" w:hAnsi="PMingLiU"/>
          <w:sz w:val="18"/>
          <w:szCs w:val="18"/>
          <w:color w:val="FFFFFF"/>
        </w:rPr>
        <w:t/>
      </w:r>
      <w:r>
        <w:rPr>
          <w:rFonts w:ascii="Arial" w:cs="Arial" w:eastAsia="Arial" w:hAnsi="Arial"/>
          <w:sz w:val="18"/>
          <w:szCs w:val="18"/>
          <w:color w:val="FFFFFF"/>
        </w:rPr>
        <w:t>ǕȸȒɯǣȇǕ</w:t>
      </w:r>
      <w:r>
        <w:rPr>
          <w:rFonts w:ascii="PMingLiU" w:cs="PMingLiU" w:eastAsia="PMingLiU" w:hAnsi="PMingLiU"/>
          <w:sz w:val="18"/>
          <w:szCs w:val="18"/>
          <w:color w:val="FFFFFF"/>
        </w:rPr>
        <w:t/>
      </w:r>
      <w:r>
        <w:rPr>
          <w:rFonts w:ascii="Arial" w:cs="Arial" w:eastAsia="Arial" w:hAnsi="Arial"/>
          <w:sz w:val="18"/>
          <w:szCs w:val="18"/>
          <w:color w:val="FFFFFF"/>
        </w:rPr>
        <w:t>ƺɮǣƳƺȇƬƺً</w:t>
      </w:r>
      <w:r>
        <w:rPr>
          <w:rFonts w:ascii="PMingLiU" w:cs="PMingLiU" w:eastAsia="PMingLiU" w:hAnsi="PMingLiU"/>
          <w:sz w:val="18"/>
          <w:szCs w:val="18"/>
          <w:color w:val="FFFFFF"/>
        </w:rPr>
        <w:t/>
      </w:r>
      <w:r>
        <w:rPr>
          <w:rFonts w:ascii="Arial" w:cs="Arial" w:eastAsia="Arial" w:hAnsi="Arial"/>
          <w:sz w:val="18"/>
          <w:szCs w:val="18"/>
          <w:color w:val="FFFFFF"/>
        </w:rPr>
        <w:t>ǣȇƬȸƺƏɀǣȇǕ</w:t>
      </w:r>
      <w:r>
        <w:rPr>
          <w:rFonts w:ascii="PMingLiU" w:cs="PMingLiU" w:eastAsia="PMingLiU" w:hAnsi="PMingLiU"/>
          <w:sz w:val="18"/>
          <w:szCs w:val="18"/>
          <w:color w:val="FFFFFF"/>
        </w:rPr>
        <w:t/>
      </w:r>
      <w:r>
        <w:rPr>
          <w:rFonts w:ascii="Arial" w:cs="Arial" w:eastAsia="Arial" w:hAnsi="Arial"/>
          <w:sz w:val="18"/>
          <w:szCs w:val="18"/>
          <w:color w:val="FFFFFF"/>
        </w:rPr>
        <w:t>ƬǼƏȸǣɎɵ</w:t>
      </w:r>
      <w:r>
        <w:rPr>
          <w:rFonts w:ascii="PMingLiU" w:cs="PMingLiU" w:eastAsia="PMingLiU" w:hAnsi="PMingLiU"/>
          <w:sz w:val="18"/>
          <w:szCs w:val="18"/>
          <w:color w:val="FFFFFF"/>
        </w:rPr>
        <w:t/>
      </w:r>
      <w:r>
        <w:rPr>
          <w:rFonts w:ascii="Arial" w:cs="Arial" w:eastAsia="Arial" w:hAnsi="Arial"/>
          <w:sz w:val="18"/>
          <w:szCs w:val="18"/>
          <w:color w:val="FFFFFF"/>
        </w:rPr>
        <w:t>ƏȇƳ</w:t>
      </w:r>
      <w:r>
        <w:rPr>
          <w:rFonts w:ascii="PMingLiU" w:cs="PMingLiU" w:eastAsia="PMingLiU" w:hAnsi="PMingLiU"/>
          <w:sz w:val="18"/>
          <w:szCs w:val="18"/>
          <w:color w:val="FFFFFF"/>
        </w:rPr>
        <w:t/>
      </w:r>
      <w:r>
        <w:rPr>
          <w:rFonts w:ascii="Arial" w:cs="Arial" w:eastAsia="Arial" w:hAnsi="Arial"/>
          <w:sz w:val="18"/>
          <w:szCs w:val="18"/>
          <w:color w:val="FFFFFF"/>
        </w:rPr>
        <w:t>Ə</w:t>
      </w:r>
      <w:r>
        <w:rPr>
          <w:rFonts w:ascii="PMingLiU" w:cs="PMingLiU" w:eastAsia="PMingLiU" w:hAnsi="PMingLiU"/>
          <w:sz w:val="18"/>
          <w:szCs w:val="18"/>
          <w:color w:val="FFFFFF"/>
        </w:rPr>
        <w:t/>
      </w:r>
      <w:r>
        <w:rPr>
          <w:rFonts w:ascii="Arial" w:cs="Arial" w:eastAsia="Arial" w:hAnsi="Arial"/>
          <w:sz w:val="18"/>
          <w:szCs w:val="18"/>
          <w:color w:val="FFFFFF"/>
        </w:rPr>
        <w:t>ɯƺǼǼٮƳƺˡȇƺƳ</w:t>
      </w:r>
      <w:r>
        <w:rPr>
          <w:rFonts w:ascii="PMingLiU" w:cs="PMingLiU" w:eastAsia="PMingLiU" w:hAnsi="PMingLiU"/>
          <w:sz w:val="18"/>
          <w:szCs w:val="18"/>
          <w:color w:val="FFFFFF"/>
        </w:rPr>
        <w:t/>
      </w:r>
      <w:r>
        <w:rPr>
          <w:rFonts w:ascii="Arial" w:cs="Arial" w:eastAsia="Arial" w:hAnsi="Arial"/>
          <w:sz w:val="18"/>
          <w:szCs w:val="18"/>
          <w:color w:val="FFFFFF"/>
        </w:rPr>
        <w:t>ȵƏɎǝ</w:t>
      </w:r>
      <w:r>
        <w:rPr>
          <w:rFonts w:ascii="PMingLiU" w:cs="PMingLiU" w:eastAsia="PMingLiU" w:hAnsi="PMingLiU"/>
          <w:sz w:val="18"/>
          <w:szCs w:val="18"/>
          <w:color w:val="FFFFFF"/>
        </w:rPr>
        <w:t/>
      </w:r>
      <w:r>
        <w:rPr>
          <w:rFonts w:ascii="Arial" w:cs="Arial" w:eastAsia="Arial" w:hAnsi="Arial"/>
          <w:sz w:val="18"/>
          <w:szCs w:val="18"/>
          <w:color w:val="FFFFFF"/>
        </w:rPr>
        <w:t>ǔȒȸɯƏȸƳِ</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FFFFFF"/>
        </w:rPr>
        <w:t>Victor</w:t>
      </w:r>
      <w:r>
        <w:rPr>
          <w:rFonts w:ascii="Arial" w:cs="Arial" w:eastAsia="Arial" w:hAnsi="Arial"/>
          <w:sz w:val="20"/>
          <w:szCs w:val="20"/>
          <w:color w:val="F6F5F5"/>
        </w:rPr>
        <w:t>Vi</w:t>
      </w:r>
      <w:r>
        <w:rPr>
          <w:rFonts w:ascii="Arial" w:cs="Arial" w:eastAsia="Arial" w:hAnsi="Arial"/>
          <w:sz w:val="20"/>
          <w:szCs w:val="20"/>
          <w:color w:val="F5F3F3"/>
        </w:rPr>
        <w:t>ctor Per</w:t>
      </w:r>
      <w:r>
        <w:rPr>
          <w:rFonts w:ascii="Arial" w:cs="Arial" w:eastAsia="Arial" w:hAnsi="Arial"/>
          <w:sz w:val="20"/>
          <w:szCs w:val="20"/>
          <w:color w:val="FFFFFF"/>
        </w:rPr>
        <w:t>Perlroth,</w:t>
      </w:r>
      <w:r>
        <w:rPr>
          <w:rFonts w:ascii="Arial" w:cs="Arial" w:eastAsia="Arial" w:hAnsi="Arial"/>
          <w:sz w:val="20"/>
          <w:szCs w:val="20"/>
          <w:color w:val="F6F5F5"/>
        </w:rPr>
        <w:t>lr</w:t>
      </w:r>
      <w:r>
        <w:rPr>
          <w:rFonts w:ascii="Arial" w:cs="Arial" w:eastAsia="Arial" w:hAnsi="Arial"/>
          <w:sz w:val="20"/>
          <w:szCs w:val="20"/>
          <w:color w:val="F5F3F3"/>
        </w:rPr>
        <w:t>ot</w:t>
      </w:r>
      <w:r>
        <w:rPr>
          <w:rFonts w:ascii="Arial" w:cs="Arial" w:eastAsia="Arial" w:hAnsi="Arial"/>
          <w:sz w:val="20"/>
          <w:szCs w:val="20"/>
          <w:color w:val="F6F5F5"/>
        </w:rPr>
        <w:t>h,</w:t>
      </w:r>
      <w:r>
        <w:rPr>
          <w:rFonts w:ascii="Arial" w:cs="Arial" w:eastAsia="Arial" w:hAnsi="Arial"/>
          <w:sz w:val="20"/>
          <w:szCs w:val="20"/>
          <w:color w:val="FFFFFF"/>
        </w:rPr>
        <w:t xml:space="preserve"> </w:t>
      </w:r>
      <w:r>
        <w:rPr>
          <w:rFonts w:ascii="Arial" w:cs="Arial" w:eastAsia="Arial" w:hAnsi="Arial"/>
          <w:sz w:val="20"/>
          <w:szCs w:val="20"/>
          <w:color w:val="F5F3F3"/>
        </w:rPr>
        <w:t>M</w:t>
      </w:r>
      <w:r>
        <w:rPr>
          <w:rFonts w:ascii="Arial" w:cs="Arial" w:eastAsia="Arial" w:hAnsi="Arial"/>
          <w:sz w:val="20"/>
          <w:szCs w:val="20"/>
          <w:color w:val="FFFFFF"/>
        </w:rPr>
        <w:t>M</w:t>
      </w:r>
      <w:r>
        <w:rPr>
          <w:rFonts w:ascii="Arial" w:cs="Arial" w:eastAsia="Arial" w:hAnsi="Arial"/>
          <w:sz w:val="20"/>
          <w:szCs w:val="20"/>
          <w:color w:val="F5F3F3"/>
        </w:rPr>
        <w:t>.</w:t>
      </w:r>
      <w:r>
        <w:rPr>
          <w:rFonts w:ascii="Arial" w:cs="Arial" w:eastAsia="Arial" w:hAnsi="Arial"/>
          <w:sz w:val="20"/>
          <w:szCs w:val="20"/>
          <w:color w:val="FFFFFF"/>
        </w:rPr>
        <w:t>.</w:t>
      </w:r>
      <w:r>
        <w:rPr>
          <w:rFonts w:ascii="Arial" w:cs="Arial" w:eastAsia="Arial" w:hAnsi="Arial"/>
          <w:sz w:val="20"/>
          <w:szCs w:val="20"/>
          <w:color w:val="F5F3F3"/>
        </w:rPr>
        <w:t>D</w:t>
      </w:r>
      <w:r>
        <w:rPr>
          <w:rFonts w:ascii="Arial" w:cs="Arial" w:eastAsia="Arial" w:hAnsi="Arial"/>
          <w:sz w:val="20"/>
          <w:szCs w:val="20"/>
          <w:color w:val="FFFFFF"/>
        </w:rPr>
        <w:t>D.</w:t>
      </w:r>
      <w:r>
        <w:rPr>
          <w:rFonts w:ascii="Arial" w:cs="Arial" w:eastAsia="Arial" w:hAnsi="Arial"/>
          <w:sz w:val="20"/>
          <w:szCs w:val="20"/>
          <w:color w:val="F6F5F5"/>
        </w:rPr>
        <w:t>.</w:t>
      </w:r>
    </w:p>
    <w:p>
      <w:pPr>
        <w:spacing w:after="0" w:line="70" w:lineRule="exact"/>
        <w:rPr>
          <w:sz w:val="20"/>
          <w:szCs w:val="20"/>
          <w:color w:val="auto"/>
        </w:rPr>
      </w:pPr>
    </w:p>
    <w:p>
      <w:pPr>
        <w:jc w:val="center"/>
        <w:ind w:right="20"/>
        <w:spacing w:after="0" w:line="231" w:lineRule="exact"/>
        <w:rPr>
          <w:sz w:val="20"/>
          <w:szCs w:val="20"/>
          <w:color w:val="auto"/>
        </w:rPr>
      </w:pPr>
      <w:r>
        <w:rPr>
          <w:rFonts w:ascii="Arial" w:cs="Arial" w:eastAsia="Arial" w:hAnsi="Arial"/>
          <w:sz w:val="19"/>
          <w:szCs w:val="19"/>
          <w:color w:val="FFFFFF"/>
        </w:rPr>
        <w:t>!ǝƏǣȸȅƏȇ</w:t>
      </w:r>
      <w:r>
        <w:rPr>
          <w:rFonts w:ascii="Arial" w:cs="Arial" w:eastAsia="Arial" w:hAnsi="Arial"/>
          <w:sz w:val="19"/>
          <w:szCs w:val="19"/>
          <w:color w:val="FEFEFF"/>
        </w:rPr>
        <w:t>!ǝƏǣ</w:t>
      </w:r>
      <w:r>
        <w:rPr>
          <w:rFonts w:ascii="Arial" w:cs="Arial" w:eastAsia="Arial" w:hAnsi="Arial"/>
          <w:sz w:val="19"/>
          <w:szCs w:val="19"/>
          <w:color w:val="FBFAFA"/>
        </w:rPr>
        <w:t>ȸȅ</w:t>
      </w:r>
      <w:r>
        <w:rPr>
          <w:rFonts w:ascii="Arial" w:cs="Arial" w:eastAsia="Arial" w:hAnsi="Arial"/>
          <w:sz w:val="19"/>
          <w:szCs w:val="19"/>
          <w:color w:val="FEFEFF"/>
        </w:rPr>
        <w:t>Əȇ</w:t>
      </w:r>
      <w:r>
        <w:rPr>
          <w:rFonts w:ascii="PMingLiU" w:cs="PMingLiU" w:eastAsia="PMingLiU" w:hAnsi="PMingLiU"/>
          <w:sz w:val="19"/>
          <w:szCs w:val="19"/>
          <w:color w:val="FFFFFF"/>
        </w:rPr>
        <w:t/>
      </w:r>
      <w:r>
        <w:rPr>
          <w:rFonts w:ascii="Arial" w:cs="Arial" w:eastAsia="Arial" w:hAnsi="Arial"/>
          <w:sz w:val="19"/>
          <w:szCs w:val="19"/>
          <w:color w:val="FFFFFF"/>
        </w:rPr>
        <w:t>Ȓǔ</w:t>
      </w:r>
      <w:r>
        <w:rPr>
          <w:rFonts w:ascii="Arial" w:cs="Arial" w:eastAsia="Arial" w:hAnsi="Arial"/>
          <w:sz w:val="19"/>
          <w:szCs w:val="19"/>
          <w:color w:val="FEFEFF"/>
        </w:rPr>
        <w:t>Ȓ</w:t>
      </w:r>
      <w:r>
        <w:rPr>
          <w:rFonts w:ascii="Arial" w:cs="Arial" w:eastAsia="Arial" w:hAnsi="Arial"/>
          <w:sz w:val="19"/>
          <w:szCs w:val="19"/>
          <w:color w:val="FBFAFA"/>
        </w:rPr>
        <w:t>ǔ</w:t>
      </w:r>
      <w:r>
        <w:rPr>
          <w:rFonts w:ascii="PMingLiU" w:cs="PMingLiU" w:eastAsia="PMingLiU" w:hAnsi="PMingLiU"/>
          <w:sz w:val="19"/>
          <w:szCs w:val="19"/>
          <w:color w:val="FFFFFF"/>
        </w:rPr>
        <w:t/>
      </w:r>
      <w:r>
        <w:rPr>
          <w:rFonts w:ascii="PMingLiU" w:cs="PMingLiU" w:eastAsia="PMingLiU" w:hAnsi="PMingLiU"/>
          <w:sz w:val="19"/>
          <w:szCs w:val="19"/>
          <w:color w:val="FBFAFA"/>
        </w:rPr>
        <w:t/>
      </w:r>
      <w:r>
        <w:rPr>
          <w:rFonts w:ascii="Arial" w:cs="Arial" w:eastAsia="Arial" w:hAnsi="Arial"/>
          <w:sz w:val="19"/>
          <w:szCs w:val="19"/>
          <w:color w:val="FFFFFF"/>
        </w:rPr>
        <w:t>Ɏǝƺ</w:t>
      </w:r>
      <w:r>
        <w:rPr>
          <w:rFonts w:ascii="Arial" w:cs="Arial" w:eastAsia="Arial" w:hAnsi="Arial"/>
          <w:sz w:val="19"/>
          <w:szCs w:val="19"/>
          <w:color w:val="FEFEFF"/>
        </w:rPr>
        <w:t>Ɏǝƺ</w:t>
      </w:r>
      <w:r>
        <w:rPr>
          <w:rFonts w:ascii="PMingLiU" w:cs="PMingLiU" w:eastAsia="PMingLiU" w:hAnsi="PMingLiU"/>
          <w:sz w:val="19"/>
          <w:szCs w:val="19"/>
          <w:color w:val="FFFFFF"/>
        </w:rPr>
        <w:t/>
      </w:r>
      <w:r>
        <w:rPr>
          <w:rFonts w:ascii="Arial" w:cs="Arial" w:eastAsia="Arial" w:hAnsi="Arial"/>
          <w:sz w:val="19"/>
          <w:szCs w:val="19"/>
          <w:color w:val="FFFFFF"/>
        </w:rPr>
        <w:t xml:space="preserve">  ȒƏȸƳ</w:t>
      </w:r>
      <w:r>
        <w:rPr>
          <w:rFonts w:ascii="Arial" w:cs="Arial" w:eastAsia="Arial" w:hAnsi="Arial"/>
          <w:sz w:val="19"/>
          <w:szCs w:val="19"/>
          <w:color w:val="FEFEFF"/>
        </w:rPr>
        <w:t>ȒƏȸƳ</w:t>
      </w:r>
      <w:r>
        <w:rPr>
          <w:rFonts w:ascii="PMingLiU" w:cs="PMingLiU" w:eastAsia="PMingLiU" w:hAnsi="PMingLiU"/>
          <w:sz w:val="19"/>
          <w:szCs w:val="19"/>
          <w:color w:val="FFFFFF"/>
        </w:rPr>
        <w:t/>
      </w:r>
      <w:r>
        <w:rPr>
          <w:rFonts w:ascii="Arial" w:cs="Arial" w:eastAsia="Arial" w:hAnsi="Arial"/>
          <w:sz w:val="19"/>
          <w:szCs w:val="19"/>
          <w:color w:val="FFFFFF"/>
        </w:rPr>
        <w:t>ƏȇƳ</w:t>
      </w:r>
      <w:r>
        <w:rPr>
          <w:rFonts w:ascii="Arial" w:cs="Arial" w:eastAsia="Arial" w:hAnsi="Arial"/>
          <w:sz w:val="19"/>
          <w:szCs w:val="19"/>
          <w:color w:val="FEFEFF"/>
        </w:rPr>
        <w:t>ƏȇƳ</w:t>
      </w:r>
      <w:r>
        <w:rPr>
          <w:rFonts w:ascii="PMingLiU" w:cs="PMingLiU" w:eastAsia="PMingLiU" w:hAnsi="PMingLiU"/>
          <w:sz w:val="19"/>
          <w:szCs w:val="19"/>
          <w:color w:val="FFFFFF"/>
        </w:rPr>
        <w:t/>
      </w:r>
      <w:r>
        <w:rPr>
          <w:rFonts w:ascii="Arial" w:cs="Arial" w:eastAsia="Arial" w:hAnsi="Arial"/>
          <w:sz w:val="19"/>
          <w:szCs w:val="19"/>
          <w:color w:val="FFFFFF"/>
        </w:rPr>
        <w:t>!ǝǣƺǔ</w:t>
      </w:r>
      <w:r>
        <w:rPr>
          <w:rFonts w:ascii="Arial" w:cs="Arial" w:eastAsia="Arial" w:hAnsi="Arial"/>
          <w:sz w:val="19"/>
          <w:szCs w:val="19"/>
          <w:color w:val="FEFEFF"/>
        </w:rPr>
        <w:t>!ǝǣƺ</w:t>
      </w:r>
      <w:r>
        <w:rPr>
          <w:rFonts w:ascii="Arial" w:cs="Arial" w:eastAsia="Arial" w:hAnsi="Arial"/>
          <w:sz w:val="19"/>
          <w:szCs w:val="19"/>
          <w:color w:val="FBFAFA"/>
        </w:rPr>
        <w:t>ǔ</w:t>
      </w:r>
      <w:r>
        <w:rPr>
          <w:rFonts w:ascii="PMingLiU" w:cs="PMingLiU" w:eastAsia="PMingLiU" w:hAnsi="PMingLiU"/>
          <w:sz w:val="19"/>
          <w:szCs w:val="19"/>
          <w:color w:val="FFFFFF"/>
        </w:rPr>
        <w:t/>
      </w:r>
      <w:r>
        <w:rPr>
          <w:rFonts w:ascii="PMingLiU" w:cs="PMingLiU" w:eastAsia="PMingLiU" w:hAnsi="PMingLiU"/>
          <w:sz w:val="19"/>
          <w:szCs w:val="19"/>
          <w:color w:val="FBFAFA"/>
        </w:rPr>
        <w:t/>
      </w:r>
      <w:r>
        <w:rPr>
          <w:rFonts w:ascii="Arial" w:cs="Arial" w:eastAsia="Arial" w:hAnsi="Arial"/>
          <w:sz w:val="19"/>
          <w:szCs w:val="19"/>
          <w:color w:val="FFFFFF"/>
        </w:rPr>
        <w:t>0ɴƺƬɖɎǣɮƺ</w:t>
      </w:r>
      <w:r>
        <w:rPr>
          <w:rFonts w:ascii="Arial" w:cs="Arial" w:eastAsia="Arial" w:hAnsi="Arial"/>
          <w:sz w:val="19"/>
          <w:szCs w:val="19"/>
          <w:color w:val="FBFAFA"/>
        </w:rPr>
        <w:t>0ɴ</w:t>
      </w:r>
      <w:r>
        <w:rPr>
          <w:rFonts w:ascii="Arial" w:cs="Arial" w:eastAsia="Arial" w:hAnsi="Arial"/>
          <w:sz w:val="19"/>
          <w:szCs w:val="19"/>
          <w:color w:val="FEFEFF"/>
        </w:rPr>
        <w:t>ƺƬɖɎ</w:t>
      </w:r>
      <w:r>
        <w:rPr>
          <w:rFonts w:ascii="Arial" w:cs="Arial" w:eastAsia="Arial" w:hAnsi="Arial"/>
          <w:sz w:val="19"/>
          <w:szCs w:val="19"/>
          <w:color w:val="FBFAFA"/>
        </w:rPr>
        <w:t>ǣɮ</w:t>
      </w:r>
      <w:r>
        <w:rPr>
          <w:rFonts w:ascii="Arial" w:cs="Arial" w:eastAsia="Arial" w:hAnsi="Arial"/>
          <w:sz w:val="19"/>
          <w:szCs w:val="19"/>
          <w:color w:val="FEFEFF"/>
        </w:rPr>
        <w:t>ƺ</w:t>
      </w:r>
      <w:r>
        <w:rPr>
          <w:rFonts w:ascii="PMingLiU" w:cs="PMingLiU" w:eastAsia="PMingLiU" w:hAnsi="PMingLiU"/>
          <w:sz w:val="19"/>
          <w:szCs w:val="19"/>
          <w:color w:val="FFFFFF"/>
        </w:rPr>
        <w:t></w:t>
      </w:r>
      <w:r>
        <w:rPr>
          <w:rFonts w:ascii="PMingLiU" w:cs="PMingLiU" w:eastAsia="PMingLiU" w:hAnsi="PMingLiU"/>
          <w:sz w:val="19"/>
          <w:szCs w:val="19"/>
          <w:color w:val="FEFEFF"/>
        </w:rPr>
        <w:t></w:t>
      </w:r>
      <w:r>
        <w:rPr>
          <w:rFonts w:ascii="Arial" w:cs="Arial" w:eastAsia="Arial" w:hAnsi="Arial"/>
          <w:sz w:val="19"/>
          <w:szCs w:val="19"/>
          <w:color w:val="FFFFFF"/>
        </w:rPr>
        <w:t>ǔˡƬƺȸ</w:t>
      </w:r>
      <w:r>
        <w:rPr>
          <w:rFonts w:ascii="Arial" w:cs="Arial" w:eastAsia="Arial" w:hAnsi="Arial"/>
          <w:sz w:val="19"/>
          <w:szCs w:val="19"/>
          <w:color w:val="FEFEFF"/>
        </w:rPr>
        <w:t>ǔˡƬƺȸ</w:t>
      </w:r>
    </w:p>
    <w:p>
      <w:pPr>
        <w:sectPr>
          <w:pgSz w:w="12240" w:h="15840" w:orient="portrait"/>
          <w:cols w:equalWidth="0" w:num="1">
            <w:col w:w="9780"/>
          </w:cols>
          <w:pgMar w:left="1260" w:top="545" w:right="1200" w:bottom="0" w:gutter="0" w:footer="0" w:header="0"/>
        </w:sectPr>
      </w:pPr>
    </w:p>
    <w:p>
      <w:pPr>
        <w:spacing w:after="0" w:line="3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FFFFFF"/>
        </w:rPr>
        <w:t>KODIAK SCIENCES INC.</w:t>
      </w:r>
    </w:p>
    <w:p>
      <w:pPr>
        <w:sectPr>
          <w:pgSz w:w="12240" w:h="15840" w:orient="portrait"/>
          <w:cols w:equalWidth="0" w:num="1">
            <w:col w:w="9780"/>
          </w:cols>
          <w:pgMar w:left="1260" w:top="545" w:right="1200" w:bottom="0" w:gutter="0" w:footer="0" w:header="0"/>
          <w:type w:val="continuous"/>
        </w:sectPr>
      </w:pPr>
    </w:p>
    <w:bookmarkStart w:id="4" w:name="page5"/>
    <w:bookmarkEnd w:id="4"/>
    <w:p>
      <w:pPr>
        <w:ind w:left="2060"/>
        <w:spacing w:after="0"/>
        <w:rPr>
          <w:sz w:val="20"/>
          <w:szCs w:val="20"/>
          <w:color w:val="auto"/>
        </w:rPr>
      </w:pPr>
      <w:r>
        <w:rPr>
          <w:rFonts w:ascii="Arial" w:cs="Arial" w:eastAsia="Arial" w:hAnsi="Arial"/>
          <w:sz w:val="24"/>
          <w:szCs w:val="24"/>
          <w:color w:val="FFFFFF"/>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 xml:space="preserve">FORWARD-LOOKING </w:t>
      </w:r>
      <w:r>
        <w:rPr>
          <w:rFonts w:ascii="Arial" w:cs="Arial" w:eastAsia="Arial" w:hAnsi="Arial"/>
          <w:sz w:val="24"/>
          <w:szCs w:val="24"/>
          <w:b w:val="1"/>
          <w:bCs w:val="1"/>
          <w:color w:val="FFFFFF"/>
        </w:rPr>
        <w:t>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74" w:lineRule="exact"/>
        <w:rPr>
          <w:sz w:val="20"/>
          <w:szCs w:val="20"/>
          <w:color w:val="auto"/>
        </w:rPr>
      </w:pPr>
      <w:r>
        <w:rPr>
          <w:rFonts w:ascii="Arial" w:cs="Arial" w:eastAsia="Arial" w:hAnsi="Arial"/>
          <w:sz w:val="13"/>
          <w:szCs w:val="13"/>
          <w:color w:val="FFFFFF"/>
        </w:rPr>
        <w:t>Áǝǣɀ</w:t>
      </w:r>
      <w:r>
        <w:rPr>
          <w:rFonts w:ascii="PMingLiU" w:cs="PMingLiU" w:eastAsia="PMingLiU" w:hAnsi="PMingLiU"/>
          <w:sz w:val="13"/>
          <w:szCs w:val="13"/>
          <w:color w:val="FFFFFF"/>
        </w:rPr>
        <w:t/>
      </w:r>
      <w:r>
        <w:rPr>
          <w:rFonts w:ascii="Arial" w:cs="Arial" w:eastAsia="Arial" w:hAnsi="Arial"/>
          <w:sz w:val="13"/>
          <w:szCs w:val="13"/>
          <w:color w:val="FFFFFF"/>
        </w:rPr>
        <w:t>ƬȒȅȅɖȇǣƬƏɎǣȒȇ</w:t>
      </w:r>
      <w:r>
        <w:rPr>
          <w:rFonts w:ascii="PMingLiU" w:cs="PMingLiU" w:eastAsia="PMingLiU" w:hAnsi="PMingLiU"/>
          <w:sz w:val="13"/>
          <w:szCs w:val="13"/>
          <w:color w:val="FFFFFF"/>
        </w:rPr>
        <w:t/>
      </w:r>
      <w:r>
        <w:rPr>
          <w:rFonts w:ascii="Arial" w:cs="Arial" w:eastAsia="Arial" w:hAnsi="Arial"/>
          <w:sz w:val="13"/>
          <w:szCs w:val="13"/>
          <w:color w:val="FFFFFF"/>
        </w:rPr>
        <w:t>ƬȒȇɎƏǣȇɀ</w:t>
      </w:r>
      <w:r>
        <w:rPr>
          <w:rFonts w:ascii="PMingLiU" w:cs="PMingLiU" w:eastAsia="PMingLiU" w:hAnsi="PMingLiU"/>
          <w:sz w:val="13"/>
          <w:szCs w:val="13"/>
          <w:color w:val="FFFFFF"/>
        </w:rPr>
        <w:t/>
      </w:r>
      <w:r>
        <w:rPr>
          <w:rFonts w:ascii="Arial" w:cs="Arial" w:eastAsia="Arial" w:hAnsi="Arial"/>
          <w:sz w:val="13"/>
          <w:szCs w:val="13"/>
          <w:color w:val="FFFFFF"/>
        </w:rPr>
        <w:t>ٹǔȒȸɯƏȸƳٮǼȒȒǸǣȇǕ</w:t>
      </w:r>
      <w:r>
        <w:rPr>
          <w:rFonts w:ascii="PMingLiU" w:cs="PMingLiU" w:eastAsia="PMingLiU" w:hAnsi="PMingLiU"/>
          <w:sz w:val="13"/>
          <w:szCs w:val="13"/>
          <w:color w:val="FFFFFF"/>
        </w:rPr>
        <w:t/>
      </w:r>
      <w:r>
        <w:rPr>
          <w:rFonts w:ascii="Arial" w:cs="Arial" w:eastAsia="Arial" w:hAnsi="Arial"/>
          <w:sz w:val="13"/>
          <w:szCs w:val="13"/>
          <w:color w:val="FFFFFF"/>
        </w:rPr>
        <w:t>ɀɎƏɎƺȅƺȇɎɀٺ</w:t>
      </w:r>
      <w:r>
        <w:rPr>
          <w:rFonts w:ascii="PMingLiU" w:cs="PMingLiU" w:eastAsia="PMingLiU" w:hAnsi="PMingLiU"/>
          <w:sz w:val="13"/>
          <w:szCs w:val="13"/>
          <w:color w:val="FFFFFF"/>
        </w:rPr>
        <w:t/>
      </w:r>
      <w:r>
        <w:rPr>
          <w:rFonts w:ascii="Arial" w:cs="Arial" w:eastAsia="Arial" w:hAnsi="Arial"/>
          <w:sz w:val="13"/>
          <w:szCs w:val="13"/>
          <w:color w:val="FFFFFF"/>
        </w:rPr>
        <w:t>ɯǣɎǝǣȇ</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ȅƺƏȇǣȇǕ</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³ƺƬɎǣȒȇ</w:t>
      </w:r>
      <w:r>
        <w:rPr>
          <w:rFonts w:ascii="PMingLiU" w:cs="PMingLiU" w:eastAsia="PMingLiU" w:hAnsi="PMingLiU"/>
          <w:sz w:val="13"/>
          <w:szCs w:val="13"/>
          <w:color w:val="FFFFFF"/>
        </w:rPr>
        <w:t/>
      </w:r>
      <w:r>
        <w:rPr>
          <w:rFonts w:ascii="Arial" w:cs="Arial" w:eastAsia="Arial" w:hAnsi="Arial"/>
          <w:sz w:val="13"/>
          <w:szCs w:val="13"/>
          <w:color w:val="FFFFFF"/>
        </w:rPr>
        <w:t>או</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³ƺƬɖȸǣɎǣƺɀ</w:t>
      </w:r>
      <w:r>
        <w:rPr>
          <w:rFonts w:ascii="PMingLiU" w:cs="PMingLiU" w:eastAsia="PMingLiU" w:hAnsi="PMingLiU"/>
          <w:sz w:val="13"/>
          <w:szCs w:val="13"/>
          <w:color w:val="FFFFFF"/>
        </w:rPr>
        <w:t/>
      </w:r>
      <w:r>
        <w:rPr>
          <w:rFonts w:ascii="Arial" w:cs="Arial" w:eastAsia="Arial" w:hAnsi="Arial"/>
          <w:sz w:val="13"/>
          <w:szCs w:val="13"/>
          <w:color w:val="FFFFFF"/>
        </w:rPr>
        <w:t xml:space="preserve"> </w:t>
      </w:r>
      <w:r>
        <w:rPr>
          <w:rFonts w:ascii="Arial" w:cs="Arial" w:eastAsia="Arial" w:hAnsi="Arial"/>
          <w:sz w:val="13"/>
          <w:szCs w:val="13"/>
          <w:color w:val="FFFFFF"/>
        </w:rPr>
        <w:t xml:space="preserve">Act of 1933, as amended, Section 21E of the Securities Exchange Act of 1934, as amended, and the Private Securities </w:t>
      </w:r>
      <w:r>
        <w:rPr>
          <w:rFonts w:ascii="Arial" w:cs="Arial" w:eastAsia="Arial" w:hAnsi="Arial"/>
          <w:sz w:val="13"/>
          <w:szCs w:val="13"/>
          <w:color w:val="FFFFFF"/>
        </w:rPr>
        <w:t>nǣɎǣǕƏɎǣȒȇ</w:t>
      </w:r>
      <w:r>
        <w:rPr>
          <w:rFonts w:ascii="PMingLiU" w:cs="PMingLiU" w:eastAsia="PMingLiU" w:hAnsi="PMingLiU"/>
          <w:sz w:val="13"/>
          <w:szCs w:val="13"/>
          <w:color w:val="FFFFFF"/>
        </w:rPr>
        <w:t/>
      </w:r>
      <w:r>
        <w:rPr>
          <w:rFonts w:ascii="Arial" w:cs="Arial" w:eastAsia="Arial" w:hAnsi="Arial"/>
          <w:sz w:val="13"/>
          <w:szCs w:val="13"/>
          <w:color w:val="FFFFFF"/>
        </w:rPr>
        <w:t>«ƺǔȒȸȅ</w:t>
      </w:r>
      <w:r>
        <w:rPr>
          <w:rFonts w:ascii="PMingLiU" w:cs="PMingLiU" w:eastAsia="PMingLiU" w:hAnsi="PMingLiU"/>
          <w:sz w:val="13"/>
          <w:szCs w:val="13"/>
          <w:color w:val="FFFFFF"/>
        </w:rPr>
        <w:t/>
      </w:r>
      <w:r>
        <w:rPr>
          <w:rFonts w:ascii="Arial" w:cs="Arial" w:eastAsia="Arial" w:hAnsi="Arial"/>
          <w:sz w:val="13"/>
          <w:szCs w:val="13"/>
          <w:color w:val="FFFFFF"/>
        </w:rPr>
        <w:t>ƬɎ</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xml:space="preserve"> </w:t>
      </w:r>
      <w:r>
        <w:rPr>
          <w:rFonts w:ascii="Arial" w:cs="Arial" w:eastAsia="Arial" w:hAnsi="Arial"/>
          <w:sz w:val="13"/>
          <w:szCs w:val="13"/>
          <w:color w:val="FFFFFF"/>
        </w:rPr>
        <w:t>חחדِ</w:t>
      </w:r>
      <w:r>
        <w:rPr>
          <w:rFonts w:ascii="PMingLiU" w:cs="PMingLiU" w:eastAsia="PMingLiU" w:hAnsi="PMingLiU"/>
          <w:sz w:val="13"/>
          <w:szCs w:val="13"/>
          <w:color w:val="FFFFFF"/>
        </w:rPr>
        <w:t/>
      </w:r>
      <w:r>
        <w:rPr>
          <w:rFonts w:ascii="Arial" w:cs="Arial" w:eastAsia="Arial" w:hAnsi="Arial"/>
          <w:sz w:val="13"/>
          <w:szCs w:val="13"/>
          <w:color w:val="FFFFFF"/>
        </w:rPr>
        <w:t>Áǝƺɀƺ</w:t>
      </w:r>
      <w:r>
        <w:rPr>
          <w:rFonts w:ascii="PMingLiU" w:cs="PMingLiU" w:eastAsia="PMingLiU" w:hAnsi="PMingLiU"/>
          <w:sz w:val="13"/>
          <w:szCs w:val="13"/>
          <w:color w:val="FFFFFF"/>
        </w:rPr>
        <w:t/>
      </w:r>
      <w:r>
        <w:rPr>
          <w:rFonts w:ascii="Arial" w:cs="Arial" w:eastAsia="Arial" w:hAnsi="Arial"/>
          <w:sz w:val="13"/>
          <w:szCs w:val="13"/>
          <w:color w:val="FFFFFF"/>
        </w:rPr>
        <w:t>ǔȒȸɯƏȸƳٮǼȒȒǸǣȇǕ</w:t>
      </w:r>
      <w:r>
        <w:rPr>
          <w:rFonts w:ascii="PMingLiU" w:cs="PMingLiU" w:eastAsia="PMingLiU" w:hAnsi="PMingLiU"/>
          <w:sz w:val="13"/>
          <w:szCs w:val="13"/>
          <w:color w:val="FFFFFF"/>
        </w:rPr>
        <w:t/>
      </w:r>
      <w:r>
        <w:rPr>
          <w:rFonts w:ascii="Arial" w:cs="Arial" w:eastAsia="Arial" w:hAnsi="Arial"/>
          <w:sz w:val="13"/>
          <w:szCs w:val="13"/>
          <w:color w:val="FFFFFF"/>
        </w:rPr>
        <w:t>ɀɎƏɎƺȅƺȇɎɀ</w:t>
      </w:r>
      <w:r>
        <w:rPr>
          <w:rFonts w:ascii="PMingLiU" w:cs="PMingLiU" w:eastAsia="PMingLiU" w:hAnsi="PMingLiU"/>
          <w:sz w:val="13"/>
          <w:szCs w:val="13"/>
          <w:color w:val="FFFFFF"/>
        </w:rPr>
        <w:t/>
      </w:r>
      <w:r>
        <w:rPr>
          <w:rFonts w:ascii="Arial" w:cs="Arial" w:eastAsia="Arial" w:hAnsi="Arial"/>
          <w:sz w:val="13"/>
          <w:szCs w:val="13"/>
          <w:color w:val="FFFFFF"/>
        </w:rPr>
        <w:t>Əȸƺ</w:t>
      </w:r>
      <w:r>
        <w:rPr>
          <w:rFonts w:ascii="PMingLiU" w:cs="PMingLiU" w:eastAsia="PMingLiU" w:hAnsi="PMingLiU"/>
          <w:sz w:val="13"/>
          <w:szCs w:val="13"/>
          <w:color w:val="FFFFFF"/>
        </w:rPr>
        <w:t/>
      </w:r>
      <w:r>
        <w:rPr>
          <w:rFonts w:ascii="Arial" w:cs="Arial" w:eastAsia="Arial" w:hAnsi="Arial"/>
          <w:sz w:val="13"/>
          <w:szCs w:val="13"/>
          <w:color w:val="FFFFFF"/>
        </w:rPr>
        <w:t>ȇȒɎ</w:t>
      </w:r>
      <w:r>
        <w:rPr>
          <w:rFonts w:ascii="PMingLiU" w:cs="PMingLiU" w:eastAsia="PMingLiU" w:hAnsi="PMingLiU"/>
          <w:sz w:val="13"/>
          <w:szCs w:val="13"/>
          <w:color w:val="FFFFFF"/>
        </w:rPr>
        <w:t/>
      </w:r>
      <w:r>
        <w:rPr>
          <w:rFonts w:ascii="Arial" w:cs="Arial" w:eastAsia="Arial" w:hAnsi="Arial"/>
          <w:sz w:val="13"/>
          <w:szCs w:val="13"/>
          <w:color w:val="FFFFFF"/>
        </w:rPr>
        <w:t>ƫƏɀƺƳ</w:t>
      </w:r>
      <w:r>
        <w:rPr>
          <w:rFonts w:ascii="PMingLiU" w:cs="PMingLiU" w:eastAsia="PMingLiU" w:hAnsi="PMingLiU"/>
          <w:sz w:val="13"/>
          <w:szCs w:val="13"/>
          <w:color w:val="FFFFFF"/>
        </w:rPr>
        <w:t/>
      </w:r>
      <w:r>
        <w:rPr>
          <w:rFonts w:ascii="Arial" w:cs="Arial" w:eastAsia="Arial" w:hAnsi="Arial"/>
          <w:sz w:val="13"/>
          <w:szCs w:val="13"/>
          <w:color w:val="FFFFFF"/>
        </w:rPr>
        <w:t>Ȓȇ</w:t>
      </w:r>
      <w:r>
        <w:rPr>
          <w:rFonts w:ascii="PMingLiU" w:cs="PMingLiU" w:eastAsia="PMingLiU" w:hAnsi="PMingLiU"/>
          <w:sz w:val="13"/>
          <w:szCs w:val="13"/>
          <w:color w:val="FFFFFF"/>
        </w:rPr>
        <w:t/>
      </w:r>
      <w:r>
        <w:rPr>
          <w:rFonts w:ascii="Arial" w:cs="Arial" w:eastAsia="Arial" w:hAnsi="Arial"/>
          <w:sz w:val="13"/>
          <w:szCs w:val="13"/>
          <w:color w:val="FFFFFF"/>
        </w:rPr>
        <w:t>ǝǣɀɎȒȸǣƬƏǼ</w:t>
      </w:r>
      <w:r>
        <w:rPr>
          <w:rFonts w:ascii="PMingLiU" w:cs="PMingLiU" w:eastAsia="PMingLiU" w:hAnsi="PMingLiU"/>
          <w:sz w:val="13"/>
          <w:szCs w:val="13"/>
          <w:color w:val="FFFFFF"/>
        </w:rPr>
        <w:t/>
      </w:r>
      <w:r>
        <w:rPr>
          <w:rFonts w:ascii="Arial" w:cs="Arial" w:eastAsia="Arial" w:hAnsi="Arial"/>
          <w:sz w:val="13"/>
          <w:szCs w:val="13"/>
          <w:color w:val="FFFFFF"/>
        </w:rPr>
        <w:t>ǔƏƬɎ</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ǣȇƬǼɖƳƺ</w:t>
      </w:r>
      <w:r>
        <w:rPr>
          <w:rFonts w:ascii="PMingLiU" w:cs="PMingLiU" w:eastAsia="PMingLiU" w:hAnsi="PMingLiU"/>
          <w:sz w:val="13"/>
          <w:szCs w:val="13"/>
          <w:color w:val="FFFFFF"/>
        </w:rPr>
        <w:t/>
      </w:r>
      <w:r>
        <w:rPr>
          <w:rFonts w:ascii="Arial" w:cs="Arial" w:eastAsia="Arial" w:hAnsi="Arial"/>
          <w:sz w:val="13"/>
          <w:szCs w:val="13"/>
          <w:color w:val="FFFFFF"/>
        </w:rPr>
        <w:t xml:space="preserve"> ɀɎƏɎƺȅƺȇɎɀ</w:t>
      </w:r>
      <w:r>
        <w:rPr>
          <w:rFonts w:ascii="PMingLiU" w:cs="PMingLiU" w:eastAsia="PMingLiU" w:hAnsi="PMingLiU"/>
          <w:sz w:val="13"/>
          <w:szCs w:val="13"/>
          <w:color w:val="FFFFFF"/>
        </w:rPr>
        <w:t/>
      </w:r>
      <w:r>
        <w:rPr>
          <w:rFonts w:ascii="Arial" w:cs="Arial" w:eastAsia="Arial" w:hAnsi="Arial"/>
          <w:sz w:val="13"/>
          <w:szCs w:val="13"/>
          <w:color w:val="FFFFFF"/>
        </w:rPr>
        <w:t>ȸƺǕƏȸƳǣȇǕي</w:t>
      </w:r>
      <w:r>
        <w:rPr>
          <w:rFonts w:ascii="PMingLiU" w:cs="PMingLiU" w:eastAsia="PMingLiU" w:hAnsi="PMingLiU"/>
          <w:sz w:val="13"/>
          <w:szCs w:val="13"/>
          <w:color w:val="FFFFFF"/>
        </w:rPr>
        <w:t/>
      </w:r>
      <w:r>
        <w:rPr>
          <w:rFonts w:ascii="Arial" w:cs="Arial" w:eastAsia="Arial" w:hAnsi="Arial"/>
          <w:sz w:val="13"/>
          <w:szCs w:val="13"/>
          <w:color w:val="FFFFFF"/>
        </w:rPr>
        <w:t>k³Xٮ ټɀ</w:t>
      </w:r>
      <w:r>
        <w:rPr>
          <w:rFonts w:ascii="PMingLiU" w:cs="PMingLiU" w:eastAsia="PMingLiU" w:hAnsi="PMingLiU"/>
          <w:sz w:val="13"/>
          <w:szCs w:val="13"/>
          <w:color w:val="FFFFFF"/>
        </w:rPr>
        <w:t/>
      </w:r>
      <w:r>
        <w:rPr>
          <w:rFonts w:ascii="Arial" w:cs="Arial" w:eastAsia="Arial" w:hAnsi="Arial"/>
          <w:sz w:val="13"/>
          <w:szCs w:val="13"/>
          <w:color w:val="FFFFFF"/>
        </w:rPr>
        <w:t>ȵȒɎƺȇɎǣƏǼ</w:t>
      </w:r>
      <w:r>
        <w:rPr>
          <w:rFonts w:ascii="PMingLiU" w:cs="PMingLiU" w:eastAsia="PMingLiU" w:hAnsi="PMingLiU"/>
          <w:sz w:val="13"/>
          <w:szCs w:val="13"/>
          <w:color w:val="FFFFFF"/>
        </w:rPr>
        <w:t/>
      </w:r>
      <w:r>
        <w:rPr>
          <w:rFonts w:ascii="Arial" w:cs="Arial" w:eastAsia="Arial" w:hAnsi="Arial"/>
          <w:sz w:val="13"/>
          <w:szCs w:val="13"/>
          <w:color w:val="FFFFFF"/>
        </w:rPr>
        <w:t>ɎȒ</w:t>
      </w:r>
      <w:r>
        <w:rPr>
          <w:rFonts w:ascii="PMingLiU" w:cs="PMingLiU" w:eastAsia="PMingLiU" w:hAnsi="PMingLiU"/>
          <w:sz w:val="13"/>
          <w:szCs w:val="13"/>
          <w:color w:val="FFFFFF"/>
        </w:rPr>
        <w:t/>
      </w:r>
      <w:r>
        <w:rPr>
          <w:rFonts w:ascii="Arial" w:cs="Arial" w:eastAsia="Arial" w:hAnsi="Arial"/>
          <w:sz w:val="13"/>
          <w:szCs w:val="13"/>
          <w:color w:val="FFFFFF"/>
        </w:rPr>
        <w:t>ƫƺƬȒȅƺ</w:t>
      </w:r>
      <w:r>
        <w:rPr>
          <w:rFonts w:ascii="PMingLiU" w:cs="PMingLiU" w:eastAsia="PMingLiU" w:hAnsi="PMingLiU"/>
          <w:sz w:val="13"/>
          <w:szCs w:val="13"/>
          <w:color w:val="FFFFFF"/>
        </w:rPr>
        <w:t/>
      </w:r>
      <w:r>
        <w:rPr>
          <w:rFonts w:ascii="Arial" w:cs="Arial" w:eastAsia="Arial" w:hAnsi="Arial"/>
          <w:sz w:val="13"/>
          <w:szCs w:val="13"/>
          <w:color w:val="FFFFFF"/>
        </w:rPr>
        <w:t>Ə</w:t>
      </w:r>
      <w:r>
        <w:rPr>
          <w:rFonts w:ascii="PMingLiU" w:cs="PMingLiU" w:eastAsia="PMingLiU" w:hAnsi="PMingLiU"/>
          <w:sz w:val="13"/>
          <w:szCs w:val="13"/>
          <w:color w:val="FFFFFF"/>
        </w:rPr>
        <w:t/>
      </w:r>
      <w:r>
        <w:rPr>
          <w:rFonts w:ascii="Arial" w:cs="Arial" w:eastAsia="Arial" w:hAnsi="Arial"/>
          <w:sz w:val="13"/>
          <w:szCs w:val="13"/>
          <w:color w:val="FFFFFF"/>
        </w:rPr>
        <w:t>ƬȒȸȇƺȸɀɎȒȇƺ</w:t>
      </w:r>
      <w:r>
        <w:rPr>
          <w:rFonts w:ascii="PMingLiU" w:cs="PMingLiU" w:eastAsia="PMingLiU" w:hAnsi="PMingLiU"/>
          <w:sz w:val="13"/>
          <w:szCs w:val="13"/>
          <w:color w:val="FFFFFF"/>
        </w:rPr>
        <w:t/>
      </w:r>
      <w:r>
        <w:rPr>
          <w:rFonts w:ascii="Arial" w:cs="Arial" w:eastAsia="Arial" w:hAnsi="Arial"/>
          <w:sz w:val="13"/>
          <w:szCs w:val="13"/>
          <w:color w:val="FFFFFF"/>
        </w:rPr>
        <w:t>ɎǝƺȸƏȵɵ</w:t>
      </w:r>
      <w:r>
        <w:rPr>
          <w:rFonts w:ascii="PMingLiU" w:cs="PMingLiU" w:eastAsia="PMingLiU" w:hAnsi="PMingLiU"/>
          <w:sz w:val="13"/>
          <w:szCs w:val="13"/>
          <w:color w:val="FFFFFF"/>
        </w:rPr>
        <w:t/>
      </w:r>
      <w:r>
        <w:rPr>
          <w:rFonts w:ascii="Arial" w:cs="Arial" w:eastAsia="Arial" w:hAnsi="Arial"/>
          <w:sz w:val="13"/>
          <w:szCs w:val="13"/>
          <w:color w:val="FFFFFF"/>
        </w:rPr>
        <w:t>ǔȒȸ</w:t>
      </w:r>
      <w:r>
        <w:rPr>
          <w:rFonts w:ascii="PMingLiU" w:cs="PMingLiU" w:eastAsia="PMingLiU" w:hAnsi="PMingLiU"/>
          <w:sz w:val="13"/>
          <w:szCs w:val="13"/>
          <w:color w:val="FFFFFF"/>
        </w:rPr>
        <w:t/>
      </w:r>
      <w:r>
        <w:rPr>
          <w:rFonts w:ascii="Arial" w:cs="Arial" w:eastAsia="Arial" w:hAnsi="Arial"/>
          <w:sz w:val="13"/>
          <w:szCs w:val="13"/>
          <w:color w:val="FFFFFF"/>
        </w:rPr>
        <w:t>x0³Xٕ</w:t>
      </w:r>
      <w:r>
        <w:rPr>
          <w:rFonts w:ascii="PMingLiU" w:cs="PMingLiU" w:eastAsia="PMingLiU" w:hAnsi="PMingLiU"/>
          <w:sz w:val="13"/>
          <w:szCs w:val="13"/>
          <w:color w:val="FFFFFF"/>
        </w:rPr>
        <w:t/>
      </w:r>
      <w:r>
        <w:rPr>
          <w:rFonts w:ascii="Arial" w:cs="Arial" w:eastAsia="Arial" w:hAnsi="Arial"/>
          <w:sz w:val="13"/>
          <w:szCs w:val="13"/>
          <w:color w:val="FFFFFF"/>
        </w:rPr>
        <w:t>kȒƳǣƏǸټɀ</w:t>
      </w:r>
      <w:r>
        <w:rPr>
          <w:rFonts w:ascii="PMingLiU" w:cs="PMingLiU" w:eastAsia="PMingLiU" w:hAnsi="PMingLiU"/>
          <w:sz w:val="13"/>
          <w:szCs w:val="13"/>
          <w:color w:val="FFFFFF"/>
        </w:rPr>
        <w:t/>
      </w:r>
      <w:r>
        <w:rPr>
          <w:rFonts w:ascii="Arial" w:cs="Arial" w:eastAsia="Arial" w:hAnsi="Arial"/>
          <w:sz w:val="13"/>
          <w:szCs w:val="13"/>
          <w:color w:val="FFFFFF"/>
        </w:rPr>
        <w:t>ȵǼƏȇȇƺƳ</w:t>
      </w:r>
      <w:r>
        <w:rPr>
          <w:rFonts w:ascii="PMingLiU" w:cs="PMingLiU" w:eastAsia="PMingLiU" w:hAnsi="PMingLiU"/>
          <w:sz w:val="13"/>
          <w:szCs w:val="13"/>
          <w:color w:val="FFFFFF"/>
        </w:rPr>
        <w:t/>
      </w:r>
      <w:r>
        <w:rPr>
          <w:rFonts w:ascii="Arial" w:cs="Arial" w:eastAsia="Arial" w:hAnsi="Arial"/>
          <w:sz w:val="13"/>
          <w:szCs w:val="13"/>
          <w:color w:val="FFFFFF"/>
        </w:rPr>
        <w:t xml:space="preserve"> n</w:t>
      </w:r>
      <w:r>
        <w:rPr>
          <w:rFonts w:ascii="PMingLiU" w:cs="PMingLiU" w:eastAsia="PMingLiU" w:hAnsi="PMingLiU"/>
          <w:sz w:val="13"/>
          <w:szCs w:val="13"/>
          <w:color w:val="FFFFFF"/>
        </w:rPr>
        <w:t/>
      </w:r>
      <w:r>
        <w:rPr>
          <w:rFonts w:ascii="Arial" w:cs="Arial" w:eastAsia="Arial" w:hAnsi="Arial"/>
          <w:sz w:val="13"/>
          <w:szCs w:val="13"/>
          <w:color w:val="FFFFFF"/>
        </w:rPr>
        <w:t>ˡǼǣȇǕٕ</w:t>
      </w:r>
      <w:r>
        <w:rPr>
          <w:rFonts w:ascii="PMingLiU" w:cs="PMingLiU" w:eastAsia="PMingLiU" w:hAnsi="PMingLiU"/>
          <w:sz w:val="13"/>
          <w:szCs w:val="13"/>
          <w:color w:val="FFFFFF"/>
        </w:rPr>
        <w:t/>
      </w:r>
      <w:r>
        <w:rPr>
          <w:rFonts w:ascii="Arial" w:cs="Arial" w:eastAsia="Arial" w:hAnsi="Arial"/>
          <w:sz w:val="13"/>
          <w:szCs w:val="13"/>
          <w:color w:val="FFFFFF"/>
        </w:rPr>
        <w:t xml:space="preserve"> </w:t>
      </w:r>
      <w:r>
        <w:rPr>
          <w:rFonts w:ascii="Arial" w:cs="Arial" w:eastAsia="Arial" w:hAnsi="Arial"/>
          <w:sz w:val="13"/>
          <w:szCs w:val="13"/>
          <w:color w:val="FFFFFF"/>
        </w:rPr>
        <w:t xml:space="preserve">the ABC Platform’s potential to enable differentiated, disease-modifying medicines across vision-threatening </w:t>
      </w:r>
      <w:r>
        <w:rPr>
          <w:rFonts w:ascii="Arial" w:cs="Arial" w:eastAsia="Arial" w:hAnsi="Arial"/>
          <w:sz w:val="13"/>
          <w:szCs w:val="13"/>
          <w:color w:val="FFFFFF"/>
        </w:rPr>
        <w:t>ƳǣɀƺƏɀƺɀٕ</w:t>
      </w:r>
      <w:r>
        <w:rPr>
          <w:rFonts w:ascii="PMingLiU" w:cs="PMingLiU" w:eastAsia="PMingLiU" w:hAnsi="PMingLiU"/>
          <w:sz w:val="13"/>
          <w:szCs w:val="13"/>
          <w:color w:val="FFFFFF"/>
        </w:rPr>
        <w:t/>
      </w:r>
      <w:r>
        <w:rPr>
          <w:rFonts w:ascii="Arial" w:cs="Arial" w:eastAsia="Arial" w:hAnsi="Arial"/>
          <w:sz w:val="13"/>
          <w:szCs w:val="13"/>
          <w:color w:val="FFFFFF"/>
        </w:rPr>
        <w:t>kȒƳǣƏǸټɀ</w:t>
      </w:r>
      <w:r>
        <w:rPr>
          <w:rFonts w:ascii="PMingLiU" w:cs="PMingLiU" w:eastAsia="PMingLiU" w:hAnsi="PMingLiU"/>
          <w:sz w:val="13"/>
          <w:szCs w:val="13"/>
          <w:color w:val="FFFFFF"/>
        </w:rPr>
        <w:t/>
      </w:r>
      <w:r>
        <w:rPr>
          <w:rFonts w:ascii="Arial" w:cs="Arial" w:eastAsia="Arial" w:hAnsi="Arial"/>
          <w:sz w:val="13"/>
          <w:szCs w:val="13"/>
          <w:color w:val="FFFFFF"/>
        </w:rPr>
        <w:t>ƺɴȵǼȒȸƏɎǣȒȇ</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ƫȸȒƏƳƺȸ</w:t>
      </w:r>
      <w:r>
        <w:rPr>
          <w:rFonts w:ascii="PMingLiU" w:cs="PMingLiU" w:eastAsia="PMingLiU" w:hAnsi="PMingLiU"/>
          <w:sz w:val="13"/>
          <w:szCs w:val="13"/>
          <w:color w:val="FFFFFF"/>
        </w:rPr>
        <w:t/>
      </w:r>
      <w:r>
        <w:rPr>
          <w:rFonts w:ascii="Arial" w:cs="Arial" w:eastAsia="Arial" w:hAnsi="Arial"/>
          <w:sz w:val="13"/>
          <w:szCs w:val="13"/>
          <w:color w:val="FFFFFF"/>
        </w:rPr>
        <w:t>ɖɀƺɀ</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à0Áǣ</w:t>
      </w:r>
      <w:r>
        <w:rPr>
          <w:rFonts w:ascii="PMingLiU" w:cs="PMingLiU" w:eastAsia="PMingLiU" w:hAnsi="PMingLiU"/>
          <w:sz w:val="13"/>
          <w:szCs w:val="13"/>
          <w:color w:val="FFFFFF"/>
        </w:rPr>
        <w:t/>
      </w:r>
      <w:r>
        <w:rPr>
          <w:rFonts w:ascii="Arial" w:cs="Arial" w:eastAsia="Arial" w:hAnsi="Arial"/>
          <w:sz w:val="13"/>
          <w:szCs w:val="13"/>
          <w:color w:val="FFFFFF"/>
        </w:rPr>
        <w:t>ɎƺƬǝȇȒǼȒǕɵً</w:t>
      </w:r>
      <w:r>
        <w:rPr>
          <w:rFonts w:ascii="PMingLiU" w:cs="PMingLiU" w:eastAsia="PMingLiU" w:hAnsi="PMingLiU"/>
          <w:sz w:val="13"/>
          <w:szCs w:val="13"/>
          <w:color w:val="FFFFFF"/>
        </w:rPr>
        <w:t/>
      </w:r>
      <w:r>
        <w:rPr>
          <w:rFonts w:ascii="Arial" w:cs="Arial" w:eastAsia="Arial" w:hAnsi="Arial"/>
          <w:sz w:val="13"/>
          <w:szCs w:val="13"/>
          <w:color w:val="FFFFFF"/>
        </w:rPr>
        <w:t>ǣȇƬǼɖƳǣȇǕ</w:t>
      </w:r>
      <w:r>
        <w:rPr>
          <w:rFonts w:ascii="PMingLiU" w:cs="PMingLiU" w:eastAsia="PMingLiU" w:hAnsi="PMingLiU"/>
          <w:sz w:val="13"/>
          <w:szCs w:val="13"/>
          <w:color w:val="FFFFFF"/>
        </w:rPr>
        <w:t/>
      </w:r>
      <w:r>
        <w:rPr>
          <w:rFonts w:ascii="Arial" w:cs="Arial" w:eastAsia="Arial" w:hAnsi="Arial"/>
          <w:sz w:val="13"/>
          <w:szCs w:val="13"/>
          <w:color w:val="FFFFFF"/>
        </w:rPr>
        <w:t>ǣȇ</w:t>
      </w:r>
      <w:r>
        <w:rPr>
          <w:rFonts w:ascii="PMingLiU" w:cs="PMingLiU" w:eastAsia="PMingLiU" w:hAnsi="PMingLiU"/>
          <w:sz w:val="13"/>
          <w:szCs w:val="13"/>
          <w:color w:val="FFFFFF"/>
        </w:rPr>
        <w:t/>
      </w:r>
      <w:r>
        <w:rPr>
          <w:rFonts w:ascii="Arial" w:cs="Arial" w:eastAsia="Arial" w:hAnsi="Arial"/>
          <w:sz w:val="13"/>
          <w:szCs w:val="13"/>
          <w:color w:val="FFFFFF"/>
        </w:rPr>
        <w:t>ǣƳƺȇɎǣɎɵ</w:t>
      </w:r>
      <w:r>
        <w:rPr>
          <w:rFonts w:ascii="PMingLiU" w:cs="PMingLiU" w:eastAsia="PMingLiU" w:hAnsi="PMingLiU"/>
          <w:sz w:val="13"/>
          <w:szCs w:val="13"/>
          <w:color w:val="FFFFFF"/>
        </w:rPr>
        <w:t/>
      </w:r>
      <w:r>
        <w:rPr>
          <w:rFonts w:ascii="Arial" w:cs="Arial" w:eastAsia="Arial" w:hAnsi="Arial"/>
          <w:sz w:val="13"/>
          <w:szCs w:val="13"/>
          <w:color w:val="FFFFFF"/>
        </w:rPr>
        <w:t>ɀƺƬɖȸǣɎɵ</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ƬȒǕȇǣɎǣɮƺ</w:t>
      </w:r>
      <w:r>
        <w:rPr>
          <w:rFonts w:ascii="PMingLiU" w:cs="PMingLiU" w:eastAsia="PMingLiU" w:hAnsi="PMingLiU"/>
          <w:sz w:val="13"/>
          <w:szCs w:val="13"/>
          <w:color w:val="FFFFFF"/>
        </w:rPr>
        <w:t/>
      </w:r>
      <w:r>
        <w:rPr>
          <w:rFonts w:ascii="Arial" w:cs="Arial" w:eastAsia="Arial" w:hAnsi="Arial"/>
          <w:sz w:val="13"/>
          <w:szCs w:val="13"/>
          <w:color w:val="FFFFFF"/>
        </w:rPr>
        <w:t xml:space="preserve"> </w:t>
      </w:r>
      <w:r>
        <w:rPr>
          <w:rFonts w:ascii="Arial" w:cs="Arial" w:eastAsia="Arial" w:hAnsi="Arial"/>
          <w:sz w:val="13"/>
          <w:szCs w:val="13"/>
          <w:color w:val="FFFFFF"/>
        </w:rPr>
        <w:t xml:space="preserve">science, and belief that it has the potential to become an important part of how Kodiak builds value over the long term. Forward-looking statements generally include statements that are predictive in nature and depend upon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ȸƺǔƺȸ</w:t>
      </w:r>
      <w:r>
        <w:rPr>
          <w:rFonts w:ascii="PMingLiU" w:cs="PMingLiU" w:eastAsia="PMingLiU" w:hAnsi="PMingLiU"/>
          <w:sz w:val="13"/>
          <w:szCs w:val="13"/>
          <w:color w:val="FFFFFF"/>
        </w:rPr>
        <w:t/>
      </w:r>
      <w:r>
        <w:rPr>
          <w:rFonts w:ascii="Arial" w:cs="Arial" w:eastAsia="Arial" w:hAnsi="Arial"/>
          <w:sz w:val="13"/>
          <w:szCs w:val="13"/>
          <w:color w:val="FFFFFF"/>
        </w:rPr>
        <w:t>ɎȒ</w:t>
      </w:r>
      <w:r>
        <w:rPr>
          <w:rFonts w:ascii="PMingLiU" w:cs="PMingLiU" w:eastAsia="PMingLiU" w:hAnsi="PMingLiU"/>
          <w:sz w:val="13"/>
          <w:szCs w:val="13"/>
          <w:color w:val="FFFFFF"/>
        </w:rPr>
        <w:t/>
      </w:r>
      <w:r>
        <w:rPr>
          <w:rFonts w:ascii="Arial" w:cs="Arial" w:eastAsia="Arial" w:hAnsi="Arial"/>
          <w:sz w:val="13"/>
          <w:szCs w:val="13"/>
          <w:color w:val="FFFFFF"/>
        </w:rPr>
        <w:t>ǔɖɎɖȸƺ</w:t>
      </w:r>
      <w:r>
        <w:rPr>
          <w:rFonts w:ascii="PMingLiU" w:cs="PMingLiU" w:eastAsia="PMingLiU" w:hAnsi="PMingLiU"/>
          <w:sz w:val="13"/>
          <w:szCs w:val="13"/>
          <w:color w:val="FFFFFF"/>
        </w:rPr>
        <w:t/>
      </w:r>
      <w:r>
        <w:rPr>
          <w:rFonts w:ascii="Arial" w:cs="Arial" w:eastAsia="Arial" w:hAnsi="Arial"/>
          <w:sz w:val="13"/>
          <w:szCs w:val="13"/>
          <w:color w:val="FFFFFF"/>
        </w:rPr>
        <w:t>ƺɮƺȇɎɀ</w:t>
      </w:r>
      <w:r>
        <w:rPr>
          <w:rFonts w:ascii="PMingLiU" w:cs="PMingLiU" w:eastAsia="PMingLiU" w:hAnsi="PMingLiU"/>
          <w:sz w:val="13"/>
          <w:szCs w:val="13"/>
          <w:color w:val="FFFFFF"/>
        </w:rPr>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ƬȒȇƳǣɎǣȒȇɀً</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ǣȇƬǼɖƳƺ</w:t>
      </w:r>
      <w:r>
        <w:rPr>
          <w:rFonts w:ascii="PMingLiU" w:cs="PMingLiU" w:eastAsia="PMingLiU" w:hAnsi="PMingLiU"/>
          <w:sz w:val="13"/>
          <w:szCs w:val="13"/>
          <w:color w:val="FFFFFF"/>
        </w:rPr>
        <w:t/>
      </w:r>
      <w:r>
        <w:rPr>
          <w:rFonts w:ascii="Arial" w:cs="Arial" w:eastAsia="Arial" w:hAnsi="Arial"/>
          <w:sz w:val="13"/>
          <w:szCs w:val="13"/>
          <w:color w:val="FFFFFF"/>
        </w:rPr>
        <w:t>ɯȒȸƳɀ</w:t>
      </w:r>
      <w:r>
        <w:rPr>
          <w:rFonts w:ascii="PMingLiU" w:cs="PMingLiU" w:eastAsia="PMingLiU" w:hAnsi="PMingLiU"/>
          <w:sz w:val="13"/>
          <w:szCs w:val="13"/>
          <w:color w:val="FFFFFF"/>
        </w:rPr>
        <w:t/>
      </w:r>
      <w:r>
        <w:rPr>
          <w:rFonts w:ascii="Arial" w:cs="Arial" w:eastAsia="Arial" w:hAnsi="Arial"/>
          <w:sz w:val="13"/>
          <w:szCs w:val="13"/>
          <w:color w:val="FFFFFF"/>
        </w:rPr>
        <w:t>ɀɖƬǝ</w:t>
      </w:r>
      <w:r>
        <w:rPr>
          <w:rFonts w:ascii="PMingLiU" w:cs="PMingLiU" w:eastAsia="PMingLiU" w:hAnsi="PMingLiU"/>
          <w:sz w:val="13"/>
          <w:szCs w:val="13"/>
          <w:color w:val="FFFFFF"/>
        </w:rPr>
        <w:t/>
      </w:r>
      <w:r>
        <w:rPr>
          <w:rFonts w:ascii="Arial" w:cs="Arial" w:eastAsia="Arial" w:hAnsi="Arial"/>
          <w:sz w:val="13"/>
          <w:szCs w:val="13"/>
          <w:color w:val="FFFFFF"/>
        </w:rPr>
        <w:t>Əɀ</w:t>
      </w:r>
      <w:r>
        <w:rPr>
          <w:rFonts w:ascii="PMingLiU" w:cs="PMingLiU" w:eastAsia="PMingLiU" w:hAnsi="PMingLiU"/>
          <w:sz w:val="13"/>
          <w:szCs w:val="13"/>
          <w:color w:val="FFFFFF"/>
        </w:rPr>
        <w:t/>
      </w:r>
      <w:r>
        <w:rPr>
          <w:rFonts w:ascii="Arial" w:cs="Arial" w:eastAsia="Arial" w:hAnsi="Arial"/>
          <w:sz w:val="13"/>
          <w:szCs w:val="13"/>
          <w:color w:val="FFFFFF"/>
        </w:rPr>
        <w:t>ٹƏȇɎǣƬǣȵƏɎƺًٺ</w:t>
      </w:r>
      <w:r>
        <w:rPr>
          <w:rFonts w:ascii="PMingLiU" w:cs="PMingLiU" w:eastAsia="PMingLiU" w:hAnsi="PMingLiU"/>
          <w:sz w:val="13"/>
          <w:szCs w:val="13"/>
          <w:color w:val="FFFFFF"/>
        </w:rPr>
        <w:t/>
      </w:r>
      <w:r>
        <w:rPr>
          <w:rFonts w:ascii="Arial" w:cs="Arial" w:eastAsia="Arial" w:hAnsi="Arial"/>
          <w:sz w:val="13"/>
          <w:szCs w:val="13"/>
          <w:color w:val="FFFFFF"/>
        </w:rPr>
        <w:t>ٹƫƺǼǣƺɮƺًٺ</w:t>
      </w:r>
      <w:r>
        <w:rPr>
          <w:rFonts w:ascii="PMingLiU" w:cs="PMingLiU" w:eastAsia="PMingLiU" w:hAnsi="PMingLiU"/>
          <w:sz w:val="13"/>
          <w:szCs w:val="13"/>
          <w:color w:val="FFFFFF"/>
        </w:rPr>
        <w:t/>
      </w:r>
      <w:r>
        <w:rPr>
          <w:rFonts w:ascii="Arial" w:cs="Arial" w:eastAsia="Arial" w:hAnsi="Arial"/>
          <w:sz w:val="13"/>
          <w:szCs w:val="13"/>
          <w:color w:val="FFFFFF"/>
        </w:rPr>
        <w:t>ٹƬȒɖǼƳًٺ</w:t>
      </w:r>
      <w:r>
        <w:rPr>
          <w:rFonts w:ascii="PMingLiU" w:cs="PMingLiU" w:eastAsia="PMingLiU" w:hAnsi="PMingLiU"/>
          <w:sz w:val="13"/>
          <w:szCs w:val="13"/>
          <w:color w:val="FFFFFF"/>
        </w:rPr>
        <w:t/>
      </w:r>
      <w:r>
        <w:rPr>
          <w:rFonts w:ascii="Arial" w:cs="Arial" w:eastAsia="Arial" w:hAnsi="Arial"/>
          <w:sz w:val="13"/>
          <w:szCs w:val="13"/>
          <w:color w:val="FFFFFF"/>
        </w:rPr>
        <w:t>ٹƺɴȵƺƬɎًٺ</w:t>
      </w:r>
      <w:r>
        <w:rPr>
          <w:rFonts w:ascii="PMingLiU" w:cs="PMingLiU" w:eastAsia="PMingLiU" w:hAnsi="PMingLiU"/>
          <w:sz w:val="13"/>
          <w:szCs w:val="13"/>
          <w:color w:val="FFFFFF"/>
        </w:rPr>
        <w:t/>
      </w:r>
      <w:r>
        <w:rPr>
          <w:rFonts w:ascii="Arial" w:cs="Arial" w:eastAsia="Arial" w:hAnsi="Arial"/>
          <w:sz w:val="13"/>
          <w:szCs w:val="13"/>
          <w:color w:val="FFFFFF"/>
        </w:rPr>
        <w:t>ٹǣȇɎƺȇƳًٺ</w:t>
      </w:r>
      <w:r>
        <w:rPr>
          <w:rFonts w:ascii="PMingLiU" w:cs="PMingLiU" w:eastAsia="PMingLiU" w:hAnsi="PMingLiU"/>
          <w:sz w:val="13"/>
          <w:szCs w:val="13"/>
          <w:color w:val="FFFFFF"/>
        </w:rPr>
        <w:t/>
      </w:r>
      <w:r>
        <w:rPr>
          <w:rFonts w:ascii="Arial" w:cs="Arial" w:eastAsia="Arial" w:hAnsi="Arial"/>
          <w:sz w:val="13"/>
          <w:szCs w:val="13"/>
          <w:color w:val="FFFFFF"/>
        </w:rPr>
        <w:t xml:space="preserve"> ٹȅƏɵًٺ</w:t>
      </w:r>
      <w:r>
        <w:rPr>
          <w:rFonts w:ascii="PMingLiU" w:cs="PMingLiU" w:eastAsia="PMingLiU" w:hAnsi="PMingLiU"/>
          <w:sz w:val="13"/>
          <w:szCs w:val="13"/>
          <w:color w:val="FFFFFF"/>
        </w:rPr>
        <w:t/>
      </w:r>
      <w:r>
        <w:rPr>
          <w:rFonts w:ascii="Arial" w:cs="Arial" w:eastAsia="Arial" w:hAnsi="Arial"/>
          <w:sz w:val="13"/>
          <w:szCs w:val="13"/>
          <w:color w:val="FFFFFF"/>
        </w:rPr>
        <w:t>ٹȵǼƏȇًٺ</w:t>
      </w:r>
      <w:r>
        <w:rPr>
          <w:rFonts w:ascii="PMingLiU" w:cs="PMingLiU" w:eastAsia="PMingLiU" w:hAnsi="PMingLiU"/>
          <w:sz w:val="13"/>
          <w:szCs w:val="13"/>
          <w:color w:val="FFFFFF"/>
        </w:rPr>
        <w:t/>
      </w:r>
      <w:r>
        <w:rPr>
          <w:rFonts w:ascii="Arial" w:cs="Arial" w:eastAsia="Arial" w:hAnsi="Arial"/>
          <w:sz w:val="13"/>
          <w:szCs w:val="13"/>
          <w:color w:val="FFFFFF"/>
        </w:rPr>
        <w:t>ٹȵɖȸɀɖƺًٺ</w:t>
      </w:r>
      <w:r>
        <w:rPr>
          <w:rFonts w:ascii="PMingLiU" w:cs="PMingLiU" w:eastAsia="PMingLiU" w:hAnsi="PMingLiU"/>
          <w:sz w:val="13"/>
          <w:szCs w:val="13"/>
          <w:color w:val="FFFFFF"/>
        </w:rPr>
        <w:t/>
      </w:r>
      <w:r>
        <w:rPr>
          <w:rFonts w:ascii="Arial" w:cs="Arial" w:eastAsia="Arial" w:hAnsi="Arial"/>
          <w:sz w:val="13"/>
          <w:szCs w:val="13"/>
          <w:color w:val="FFFFFF"/>
        </w:rPr>
        <w:t>ٹɀǝȒɖǼƳًٺ</w:t>
      </w:r>
      <w:r>
        <w:rPr>
          <w:rFonts w:ascii="PMingLiU" w:cs="PMingLiU" w:eastAsia="PMingLiU" w:hAnsi="PMingLiU"/>
          <w:sz w:val="13"/>
          <w:szCs w:val="13"/>
          <w:color w:val="FFFFFF"/>
        </w:rPr>
        <w:t/>
      </w:r>
      <w:r>
        <w:rPr>
          <w:rFonts w:ascii="Arial" w:cs="Arial" w:eastAsia="Arial" w:hAnsi="Arial"/>
          <w:sz w:val="13"/>
          <w:szCs w:val="13"/>
          <w:color w:val="FFFFFF"/>
        </w:rPr>
        <w:t>ٹɯǣǼǼًٺ</w:t>
      </w:r>
      <w:r>
        <w:rPr>
          <w:rFonts w:ascii="PMingLiU" w:cs="PMingLiU" w:eastAsia="PMingLiU" w:hAnsi="PMingLiU"/>
          <w:sz w:val="13"/>
          <w:szCs w:val="13"/>
          <w:color w:val="FFFFFF"/>
        </w:rPr>
        <w:t/>
      </w:r>
      <w:r>
        <w:rPr>
          <w:rFonts w:ascii="Arial" w:cs="Arial" w:eastAsia="Arial" w:hAnsi="Arial"/>
          <w:sz w:val="13"/>
          <w:szCs w:val="13"/>
          <w:color w:val="FFFFFF"/>
        </w:rPr>
        <w:t>ٹɯȒɖǼƳًٺ</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ȒɎǝƺȸ</w:t>
      </w:r>
      <w:r>
        <w:rPr>
          <w:rFonts w:ascii="PMingLiU" w:cs="PMingLiU" w:eastAsia="PMingLiU" w:hAnsi="PMingLiU"/>
          <w:sz w:val="13"/>
          <w:szCs w:val="13"/>
          <w:color w:val="FFFFFF"/>
        </w:rPr>
        <w:t/>
      </w:r>
      <w:r>
        <w:rPr>
          <w:rFonts w:ascii="Arial" w:cs="Arial" w:eastAsia="Arial" w:hAnsi="Arial"/>
          <w:sz w:val="13"/>
          <w:szCs w:val="13"/>
          <w:color w:val="FFFFFF"/>
        </w:rPr>
        <w:t>ɀǣȅǣǼƏȸ</w:t>
      </w:r>
      <w:r>
        <w:rPr>
          <w:rFonts w:ascii="PMingLiU" w:cs="PMingLiU" w:eastAsia="PMingLiU" w:hAnsi="PMingLiU"/>
          <w:sz w:val="13"/>
          <w:szCs w:val="13"/>
          <w:color w:val="FFFFFF"/>
        </w:rPr>
        <w:t/>
      </w:r>
      <w:r>
        <w:rPr>
          <w:rFonts w:ascii="Arial" w:cs="Arial" w:eastAsia="Arial" w:hAnsi="Arial"/>
          <w:sz w:val="13"/>
          <w:szCs w:val="13"/>
          <w:color w:val="FFFFFF"/>
        </w:rPr>
        <w:t>ƺɴȵȸƺɀɀǣȒȇɀً</w:t>
      </w:r>
      <w:r>
        <w:rPr>
          <w:rFonts w:ascii="PMingLiU" w:cs="PMingLiU" w:eastAsia="PMingLiU" w:hAnsi="PMingLiU"/>
          <w:sz w:val="13"/>
          <w:szCs w:val="13"/>
          <w:color w:val="FFFFFF"/>
        </w:rPr>
        <w:t/>
      </w:r>
      <w:r>
        <w:rPr>
          <w:rFonts w:ascii="Arial" w:cs="Arial" w:eastAsia="Arial" w:hAnsi="Arial"/>
          <w:sz w:val="13"/>
          <w:szCs w:val="13"/>
          <w:color w:val="FFFFFF"/>
        </w:rPr>
        <w:t>ƏȅȒȇǕ</w:t>
      </w:r>
      <w:r>
        <w:rPr>
          <w:rFonts w:ascii="PMingLiU" w:cs="PMingLiU" w:eastAsia="PMingLiU" w:hAnsi="PMingLiU"/>
          <w:sz w:val="13"/>
          <w:szCs w:val="13"/>
          <w:color w:val="FFFFFF"/>
        </w:rPr>
        <w:t/>
      </w:r>
      <w:r>
        <w:rPr>
          <w:rFonts w:ascii="Arial" w:cs="Arial" w:eastAsia="Arial" w:hAnsi="Arial"/>
          <w:sz w:val="13"/>
          <w:szCs w:val="13"/>
          <w:color w:val="FFFFFF"/>
        </w:rPr>
        <w:t>ȒɎǝƺȸɀِ</w:t>
      </w:r>
      <w:r>
        <w:rPr>
          <w:rFonts w:ascii="PMingLiU" w:cs="PMingLiU" w:eastAsia="PMingLiU" w:hAnsi="PMingLiU"/>
          <w:sz w:val="13"/>
          <w:szCs w:val="13"/>
          <w:color w:val="FFFFFF"/>
        </w:rPr>
        <w:t/>
      </w:r>
      <w:r>
        <w:rPr>
          <w:rFonts w:ascii="Arial" w:cs="Arial" w:eastAsia="Arial" w:hAnsi="Arial"/>
          <w:sz w:val="13"/>
          <w:szCs w:val="13"/>
          <w:color w:val="FFFFFF"/>
        </w:rPr>
        <w:t>ȇɵ</w:t>
      </w:r>
      <w:r>
        <w:rPr>
          <w:rFonts w:ascii="PMingLiU" w:cs="PMingLiU" w:eastAsia="PMingLiU" w:hAnsi="PMingLiU"/>
          <w:sz w:val="13"/>
          <w:szCs w:val="13"/>
          <w:color w:val="FFFFFF"/>
        </w:rPr>
        <w:t/>
      </w:r>
      <w:r>
        <w:rPr>
          <w:rFonts w:ascii="Arial" w:cs="Arial" w:eastAsia="Arial" w:hAnsi="Arial"/>
          <w:sz w:val="13"/>
          <w:szCs w:val="13"/>
          <w:color w:val="FFFFFF"/>
        </w:rPr>
        <w:t>ǔȒȸɯƏȸƳٮǼȒȒǸǣȇǕ</w:t>
      </w:r>
      <w:r>
        <w:rPr>
          <w:rFonts w:ascii="PMingLiU" w:cs="PMingLiU" w:eastAsia="PMingLiU" w:hAnsi="PMingLiU"/>
          <w:sz w:val="13"/>
          <w:szCs w:val="13"/>
          <w:color w:val="FFFFFF"/>
        </w:rPr>
        <w:t/>
      </w:r>
      <w:r>
        <w:rPr>
          <w:rFonts w:ascii="Arial" w:cs="Arial" w:eastAsia="Arial" w:hAnsi="Arial"/>
          <w:sz w:val="13"/>
          <w:szCs w:val="13"/>
          <w:color w:val="FFFFFF"/>
        </w:rPr>
        <w:t xml:space="preserve"> </w:t>
      </w:r>
      <w:r>
        <w:rPr>
          <w:rFonts w:ascii="Arial" w:cs="Arial" w:eastAsia="Arial" w:hAnsi="Arial"/>
          <w:sz w:val="13"/>
          <w:szCs w:val="13"/>
          <w:color w:val="FFFFFF"/>
        </w:rPr>
        <w:t xml:space="preserve">statements are based on management’s current expectations of future events and are subject to a number of risks and uncertainties that could cause actual results to differ materially and adversely from those set forth in or implied </w:t>
      </w:r>
      <w:r>
        <w:rPr>
          <w:rFonts w:ascii="Arial" w:cs="Arial" w:eastAsia="Arial" w:hAnsi="Arial"/>
          <w:sz w:val="13"/>
          <w:szCs w:val="13"/>
          <w:color w:val="FFFFFF"/>
        </w:rPr>
        <w:t>ƫɵ</w:t>
      </w:r>
      <w:r>
        <w:rPr>
          <w:rFonts w:ascii="PMingLiU" w:cs="PMingLiU" w:eastAsia="PMingLiU" w:hAnsi="PMingLiU"/>
          <w:sz w:val="13"/>
          <w:szCs w:val="13"/>
          <w:color w:val="FFFFFF"/>
        </w:rPr>
        <w:t/>
      </w:r>
      <w:r>
        <w:rPr>
          <w:rFonts w:ascii="Arial" w:cs="Arial" w:eastAsia="Arial" w:hAnsi="Arial"/>
          <w:sz w:val="13"/>
          <w:szCs w:val="13"/>
          <w:color w:val="FFFFFF"/>
        </w:rPr>
        <w:t>ɀɖƬǝ</w:t>
      </w:r>
      <w:r>
        <w:rPr>
          <w:rFonts w:ascii="PMingLiU" w:cs="PMingLiU" w:eastAsia="PMingLiU" w:hAnsi="PMingLiU"/>
          <w:sz w:val="13"/>
          <w:szCs w:val="13"/>
          <w:color w:val="FFFFFF"/>
        </w:rPr>
        <w:t/>
      </w:r>
      <w:r>
        <w:rPr>
          <w:rFonts w:ascii="Arial" w:cs="Arial" w:eastAsia="Arial" w:hAnsi="Arial"/>
          <w:sz w:val="13"/>
          <w:szCs w:val="13"/>
          <w:color w:val="FFFFFF"/>
        </w:rPr>
        <w:t>ǔȒȸɯƏȸƳٮǼȒȒǸǣȇǕ</w:t>
      </w:r>
      <w:r>
        <w:rPr>
          <w:rFonts w:ascii="PMingLiU" w:cs="PMingLiU" w:eastAsia="PMingLiU" w:hAnsi="PMingLiU"/>
          <w:sz w:val="13"/>
          <w:szCs w:val="13"/>
          <w:color w:val="FFFFFF"/>
        </w:rPr>
        <w:t/>
      </w:r>
      <w:r>
        <w:rPr>
          <w:rFonts w:ascii="Arial" w:cs="Arial" w:eastAsia="Arial" w:hAnsi="Arial"/>
          <w:sz w:val="13"/>
          <w:szCs w:val="13"/>
          <w:color w:val="FFFFFF"/>
        </w:rPr>
        <w:t>ɀɎƏɎƺȅƺȇɎɀِ</w:t>
      </w:r>
      <w:r>
        <w:rPr>
          <w:rFonts w:ascii="PMingLiU" w:cs="PMingLiU" w:eastAsia="PMingLiU" w:hAnsi="PMingLiU"/>
          <w:sz w:val="13"/>
          <w:szCs w:val="13"/>
          <w:color w:val="FFFFFF"/>
        </w:rPr>
        <w:t/>
      </w:r>
      <w:r>
        <w:rPr>
          <w:rFonts w:ascii="Arial" w:cs="Arial" w:eastAsia="Arial" w:hAnsi="Arial"/>
          <w:sz w:val="13"/>
          <w:szCs w:val="13"/>
          <w:color w:val="FFFFFF"/>
        </w:rPr>
        <w:t>Áǝƺɀƺ</w:t>
      </w:r>
      <w:r>
        <w:rPr>
          <w:rFonts w:ascii="PMingLiU" w:cs="PMingLiU" w:eastAsia="PMingLiU" w:hAnsi="PMingLiU"/>
          <w:sz w:val="13"/>
          <w:szCs w:val="13"/>
          <w:color w:val="FFFFFF"/>
        </w:rPr>
        <w:t/>
      </w:r>
      <w:r>
        <w:rPr>
          <w:rFonts w:ascii="Arial" w:cs="Arial" w:eastAsia="Arial" w:hAnsi="Arial"/>
          <w:sz w:val="13"/>
          <w:szCs w:val="13"/>
          <w:color w:val="FFFFFF"/>
        </w:rPr>
        <w:t>ȸǣɀǸɀ</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ɖȇƬƺȸɎƏǣȇɎǣƺɀ</w:t>
      </w:r>
      <w:r>
        <w:rPr>
          <w:rFonts w:ascii="PMingLiU" w:cs="PMingLiU" w:eastAsia="PMingLiU" w:hAnsi="PMingLiU"/>
          <w:sz w:val="13"/>
          <w:szCs w:val="13"/>
          <w:color w:val="FFFFFF"/>
        </w:rPr>
        <w:t/>
      </w:r>
      <w:r>
        <w:rPr>
          <w:rFonts w:ascii="Arial" w:cs="Arial" w:eastAsia="Arial" w:hAnsi="Arial"/>
          <w:sz w:val="13"/>
          <w:szCs w:val="13"/>
          <w:color w:val="FFFFFF"/>
        </w:rPr>
        <w:t>ǣȇƬǼɖƳƺً</w:t>
      </w:r>
      <w:r>
        <w:rPr>
          <w:rFonts w:ascii="PMingLiU" w:cs="PMingLiU" w:eastAsia="PMingLiU" w:hAnsi="PMingLiU"/>
          <w:sz w:val="13"/>
          <w:szCs w:val="13"/>
          <w:color w:val="FFFFFF"/>
        </w:rPr>
        <w:t/>
      </w:r>
      <w:r>
        <w:rPr>
          <w:rFonts w:ascii="Arial" w:cs="Arial" w:eastAsia="Arial" w:hAnsi="Arial"/>
          <w:sz w:val="13"/>
          <w:szCs w:val="13"/>
          <w:color w:val="FFFFFF"/>
        </w:rPr>
        <w:t>ƫɖɎ</w:t>
      </w:r>
      <w:r>
        <w:rPr>
          <w:rFonts w:ascii="PMingLiU" w:cs="PMingLiU" w:eastAsia="PMingLiU" w:hAnsi="PMingLiU"/>
          <w:sz w:val="13"/>
          <w:szCs w:val="13"/>
          <w:color w:val="FFFFFF"/>
        </w:rPr>
        <w:t/>
      </w:r>
      <w:r>
        <w:rPr>
          <w:rFonts w:ascii="Arial" w:cs="Arial" w:eastAsia="Arial" w:hAnsi="Arial"/>
          <w:sz w:val="13"/>
          <w:szCs w:val="13"/>
          <w:color w:val="FFFFFF"/>
        </w:rPr>
        <w:t>Əȸƺ</w:t>
      </w:r>
      <w:r>
        <w:rPr>
          <w:rFonts w:ascii="PMingLiU" w:cs="PMingLiU" w:eastAsia="PMingLiU" w:hAnsi="PMingLiU"/>
          <w:sz w:val="13"/>
          <w:szCs w:val="13"/>
          <w:color w:val="FFFFFF"/>
        </w:rPr>
        <w:t/>
      </w:r>
      <w:r>
        <w:rPr>
          <w:rFonts w:ascii="Arial" w:cs="Arial" w:eastAsia="Arial" w:hAnsi="Arial"/>
          <w:sz w:val="13"/>
          <w:szCs w:val="13"/>
          <w:color w:val="FFFFFF"/>
        </w:rPr>
        <w:t>ȇȒɎ</w:t>
      </w:r>
      <w:r>
        <w:rPr>
          <w:rFonts w:ascii="PMingLiU" w:cs="PMingLiU" w:eastAsia="PMingLiU" w:hAnsi="PMingLiU"/>
          <w:sz w:val="13"/>
          <w:szCs w:val="13"/>
          <w:color w:val="FFFFFF"/>
        </w:rPr>
        <w:t/>
      </w:r>
      <w:r>
        <w:rPr>
          <w:rFonts w:ascii="Arial" w:cs="Arial" w:eastAsia="Arial" w:hAnsi="Arial"/>
          <w:sz w:val="13"/>
          <w:szCs w:val="13"/>
          <w:color w:val="FFFFFF"/>
        </w:rPr>
        <w:t>ǼǣȅǣɎƺƳ</w:t>
      </w:r>
      <w:r>
        <w:rPr>
          <w:rFonts w:ascii="PMingLiU" w:cs="PMingLiU" w:eastAsia="PMingLiU" w:hAnsi="PMingLiU"/>
          <w:sz w:val="13"/>
          <w:szCs w:val="13"/>
          <w:color w:val="FFFFFF"/>
        </w:rPr>
        <w:t/>
      </w:r>
      <w:r>
        <w:rPr>
          <w:rFonts w:ascii="Arial" w:cs="Arial" w:eastAsia="Arial" w:hAnsi="Arial"/>
          <w:sz w:val="13"/>
          <w:szCs w:val="13"/>
          <w:color w:val="FFFFFF"/>
        </w:rPr>
        <w:t>ɎȒي</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ȸǣɀǸ</w:t>
      </w:r>
      <w:r>
        <w:rPr>
          <w:rFonts w:ascii="PMingLiU" w:cs="PMingLiU" w:eastAsia="PMingLiU" w:hAnsi="PMingLiU"/>
          <w:sz w:val="13"/>
          <w:szCs w:val="13"/>
          <w:color w:val="FFFFFF"/>
        </w:rPr>
        <w:t/>
      </w:r>
      <w:r>
        <w:rPr>
          <w:rFonts w:ascii="Arial" w:cs="Arial" w:eastAsia="Arial" w:hAnsi="Arial"/>
          <w:sz w:val="13"/>
          <w:szCs w:val="13"/>
          <w:color w:val="FFFFFF"/>
        </w:rPr>
        <w:t>ɎǝƏɎ</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 xml:space="preserve"> ƬȒȅȵǼƺɎƺƳ</w:t>
      </w:r>
      <w:r>
        <w:rPr>
          <w:rFonts w:ascii="PMingLiU" w:cs="PMingLiU" w:eastAsia="PMingLiU" w:hAnsi="PMingLiU"/>
          <w:sz w:val="13"/>
          <w:szCs w:val="13"/>
          <w:color w:val="FFFFFF"/>
        </w:rPr>
        <w:t/>
      </w:r>
      <w:r>
        <w:rPr>
          <w:rFonts w:ascii="Arial" w:cs="Arial" w:eastAsia="Arial" w:hAnsi="Arial"/>
          <w:sz w:val="13"/>
          <w:szCs w:val="13"/>
          <w:color w:val="FFFFFF"/>
        </w:rPr>
        <w:t>¨ǝƏɀƺ</w:t>
      </w:r>
      <w:r>
        <w:rPr>
          <w:rFonts w:ascii="PMingLiU" w:cs="PMingLiU" w:eastAsia="PMingLiU" w:hAnsi="PMingLiU"/>
          <w:sz w:val="13"/>
          <w:szCs w:val="13"/>
          <w:color w:val="FFFFFF"/>
        </w:rPr>
        <w:t/>
      </w:r>
      <w:r>
        <w:rPr>
          <w:rFonts w:ascii="Arial" w:cs="Arial" w:eastAsia="Arial" w:hAnsi="Arial"/>
          <w:sz w:val="13"/>
          <w:szCs w:val="13"/>
          <w:color w:val="FFFFFF"/>
        </w:rPr>
        <w:t>ב</w:t>
      </w:r>
      <w:r>
        <w:rPr>
          <w:rFonts w:ascii="PMingLiU" w:cs="PMingLiU" w:eastAsia="PMingLiU" w:hAnsi="PMingLiU"/>
          <w:sz w:val="13"/>
          <w:szCs w:val="13"/>
          <w:color w:val="FFFFFF"/>
        </w:rPr>
        <w:t/>
      </w:r>
      <w:r>
        <w:rPr>
          <w:rFonts w:ascii="Arial" w:cs="Arial" w:eastAsia="Arial" w:hAnsi="Arial"/>
          <w:sz w:val="13"/>
          <w:szCs w:val="13"/>
          <w:color w:val="FFFFFF"/>
        </w:rPr>
        <w:t>ɀɎɖƳǣƺɀ</w:t>
      </w:r>
      <w:r>
        <w:rPr>
          <w:rFonts w:ascii="PMingLiU" w:cs="PMingLiU" w:eastAsia="PMingLiU" w:hAnsi="PMingLiU"/>
          <w:sz w:val="13"/>
          <w:szCs w:val="13"/>
          <w:color w:val="FFFFFF"/>
        </w:rPr>
        <w:t/>
      </w:r>
      <w:r>
        <w:rPr>
          <w:rFonts w:ascii="Arial" w:cs="Arial" w:eastAsia="Arial" w:hAnsi="Arial"/>
          <w:sz w:val="13"/>
          <w:szCs w:val="13"/>
          <w:color w:val="FFFFFF"/>
        </w:rPr>
        <w:t>ǔȒȸ</w:t>
      </w:r>
      <w:r>
        <w:rPr>
          <w:rFonts w:ascii="PMingLiU" w:cs="PMingLiU" w:eastAsia="PMingLiU" w:hAnsi="PMingLiU"/>
          <w:sz w:val="13"/>
          <w:szCs w:val="13"/>
          <w:color w:val="FFFFFF"/>
        </w:rPr>
        <w:t/>
      </w:r>
      <w:r>
        <w:rPr>
          <w:rFonts w:ascii="Arial" w:cs="Arial" w:eastAsia="Arial" w:hAnsi="Arial"/>
          <w:sz w:val="13"/>
          <w:szCs w:val="13"/>
          <w:color w:val="FFFFFF"/>
        </w:rPr>
        <w:t>ñƺȇǸɖƳƏ</w:t>
      </w:r>
      <w:r>
        <w:rPr>
          <w:rFonts w:ascii="PMingLiU" w:cs="PMingLiU" w:eastAsia="PMingLiU" w:hAnsi="PMingLiU"/>
          <w:sz w:val="13"/>
          <w:szCs w:val="13"/>
          <w:color w:val="FFFFFF"/>
        </w:rPr>
        <w:t/>
      </w:r>
      <w:r>
        <w:rPr>
          <w:rFonts w:ascii="Arial" w:cs="Arial" w:eastAsia="Arial" w:hAnsi="Arial"/>
          <w:sz w:val="13"/>
          <w:szCs w:val="13"/>
          <w:color w:val="FFFFFF"/>
        </w:rPr>
        <w:t>ȅƏɵ</w:t>
      </w:r>
      <w:r>
        <w:rPr>
          <w:rFonts w:ascii="PMingLiU" w:cs="PMingLiU" w:eastAsia="PMingLiU" w:hAnsi="PMingLiU"/>
          <w:sz w:val="13"/>
          <w:szCs w:val="13"/>
          <w:color w:val="FFFFFF"/>
        </w:rPr>
        <w:t/>
      </w:r>
      <w:r>
        <w:rPr>
          <w:rFonts w:ascii="Arial" w:cs="Arial" w:eastAsia="Arial" w:hAnsi="Arial"/>
          <w:sz w:val="13"/>
          <w:szCs w:val="13"/>
          <w:color w:val="FFFFFF"/>
        </w:rPr>
        <w:t>ȇȒɎ</w:t>
      </w:r>
      <w:r>
        <w:rPr>
          <w:rFonts w:ascii="PMingLiU" w:cs="PMingLiU" w:eastAsia="PMingLiU" w:hAnsi="PMingLiU"/>
          <w:sz w:val="13"/>
          <w:szCs w:val="13"/>
          <w:color w:val="FFFFFF"/>
        </w:rPr>
        <w:t/>
      </w:r>
      <w:r>
        <w:rPr>
          <w:rFonts w:ascii="Arial" w:cs="Arial" w:eastAsia="Arial" w:hAnsi="Arial"/>
          <w:sz w:val="13"/>
          <w:szCs w:val="13"/>
          <w:color w:val="FFFFFF"/>
        </w:rPr>
        <w:t>ƫƺ</w:t>
      </w:r>
      <w:r>
        <w:rPr>
          <w:rFonts w:ascii="PMingLiU" w:cs="PMingLiU" w:eastAsia="PMingLiU" w:hAnsi="PMingLiU"/>
          <w:sz w:val="13"/>
          <w:szCs w:val="13"/>
          <w:color w:val="FFFFFF"/>
        </w:rPr>
        <w:t/>
      </w:r>
      <w:r>
        <w:rPr>
          <w:rFonts w:ascii="Arial" w:cs="Arial" w:eastAsia="Arial" w:hAnsi="Arial"/>
          <w:sz w:val="13"/>
          <w:szCs w:val="13"/>
          <w:color w:val="FFFFFF"/>
        </w:rPr>
        <w:t>ɀɖǔˡƬǣƺȇɎ</w:t>
      </w:r>
      <w:r>
        <w:rPr>
          <w:rFonts w:ascii="PMingLiU" w:cs="PMingLiU" w:eastAsia="PMingLiU" w:hAnsi="PMingLiU"/>
          <w:sz w:val="13"/>
          <w:szCs w:val="13"/>
          <w:color w:val="FFFFFF"/>
        </w:rPr>
        <w:t/>
      </w:r>
      <w:r>
        <w:rPr>
          <w:rFonts w:ascii="Arial" w:cs="Arial" w:eastAsia="Arial" w:hAnsi="Arial"/>
          <w:sz w:val="13"/>
          <w:szCs w:val="13"/>
          <w:color w:val="FFFFFF"/>
        </w:rPr>
        <w:t>ɎȒ</w:t>
      </w:r>
      <w:r>
        <w:rPr>
          <w:rFonts w:ascii="PMingLiU" w:cs="PMingLiU" w:eastAsia="PMingLiU" w:hAnsi="PMingLiU"/>
          <w:sz w:val="13"/>
          <w:szCs w:val="13"/>
          <w:color w:val="FFFFFF"/>
        </w:rPr>
        <w:t/>
      </w:r>
      <w:r>
        <w:rPr>
          <w:rFonts w:ascii="Arial" w:cs="Arial" w:eastAsia="Arial" w:hAnsi="Arial"/>
          <w:sz w:val="13"/>
          <w:szCs w:val="13"/>
          <w:color w:val="FFFFFF"/>
        </w:rPr>
        <w:t>ɀɖȵȵȒȸɎ</w:t>
      </w:r>
      <w:r>
        <w:rPr>
          <w:rFonts w:ascii="PMingLiU" w:cs="PMingLiU" w:eastAsia="PMingLiU" w:hAnsi="PMingLiU"/>
          <w:sz w:val="13"/>
          <w:szCs w:val="13"/>
          <w:color w:val="FFFFFF"/>
        </w:rPr>
        <w:t/>
      </w:r>
      <w:r>
        <w:rPr>
          <w:rFonts w:ascii="Arial" w:cs="Arial" w:eastAsia="Arial" w:hAnsi="Arial"/>
          <w:sz w:val="13"/>
          <w:szCs w:val="13"/>
          <w:color w:val="FFFFFF"/>
        </w:rPr>
        <w:t>Ə</w:t>
      </w:r>
      <w:r>
        <w:rPr>
          <w:rFonts w:ascii="PMingLiU" w:cs="PMingLiU" w:eastAsia="PMingLiU" w:hAnsi="PMingLiU"/>
          <w:sz w:val="13"/>
          <w:szCs w:val="13"/>
          <w:color w:val="FFFFFF"/>
        </w:rPr>
        <w:t/>
      </w:r>
      <w:r>
        <w:rPr>
          <w:rFonts w:ascii="Arial" w:cs="Arial" w:eastAsia="Arial" w:hAnsi="Arial"/>
          <w:sz w:val="13"/>
          <w:szCs w:val="13"/>
          <w:color w:val="FFFFFF"/>
        </w:rPr>
        <w:t xml:space="preserve"> n</w:t>
      </w:r>
      <w:r>
        <w:rPr>
          <w:rFonts w:ascii="PMingLiU" w:cs="PMingLiU" w:eastAsia="PMingLiU" w:hAnsi="PMingLiU"/>
          <w:sz w:val="13"/>
          <w:szCs w:val="13"/>
          <w:color w:val="FFFFFF"/>
        </w:rPr>
        <w:t/>
      </w:r>
      <w:r>
        <w:rPr>
          <w:rFonts w:ascii="Arial" w:cs="Arial" w:eastAsia="Arial" w:hAnsi="Arial"/>
          <w:sz w:val="13"/>
          <w:szCs w:val="13"/>
          <w:color w:val="FFFFFF"/>
        </w:rPr>
        <w:t>ɀɖƫȅǣɀɀǣȒȇ</w:t>
      </w:r>
      <w:r>
        <w:rPr>
          <w:rFonts w:ascii="PMingLiU" w:cs="PMingLiU" w:eastAsia="PMingLiU" w:hAnsi="PMingLiU"/>
          <w:sz w:val="13"/>
          <w:szCs w:val="13"/>
          <w:color w:val="FFFFFF"/>
        </w:rPr>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ƏȵȵȸȒɮƏǼ</w:t>
      </w:r>
      <w:r>
        <w:rPr>
          <w:rFonts w:ascii="PMingLiU" w:cs="PMingLiU" w:eastAsia="PMingLiU" w:hAnsi="PMingLiU"/>
          <w:sz w:val="13"/>
          <w:szCs w:val="13"/>
          <w:color w:val="FFFFFF"/>
        </w:rPr>
        <w:t/>
      </w:r>
      <w:r>
        <w:rPr>
          <w:rFonts w:ascii="Arial" w:cs="Arial" w:eastAsia="Arial" w:hAnsi="Arial"/>
          <w:sz w:val="13"/>
          <w:szCs w:val="13"/>
          <w:color w:val="FFFFFF"/>
        </w:rPr>
        <w:t>ǣȇ</w:t>
      </w:r>
      <w:r>
        <w:rPr>
          <w:rFonts w:ascii="PMingLiU" w:cs="PMingLiU" w:eastAsia="PMingLiU" w:hAnsi="PMingLiU"/>
          <w:sz w:val="13"/>
          <w:szCs w:val="13"/>
          <w:color w:val="FFFFFF"/>
        </w:rPr>
        <w:t/>
      </w:r>
      <w:r>
        <w:rPr>
          <w:rFonts w:ascii="Arial" w:cs="Arial" w:eastAsia="Arial" w:hAnsi="Arial"/>
          <w:sz w:val="13"/>
          <w:szCs w:val="13"/>
          <w:color w:val="FFFFFF"/>
        </w:rPr>
        <w:t>ƳǣƏƫƺɎǣƬ</w:t>
      </w:r>
      <w:r>
        <w:rPr>
          <w:rFonts w:ascii="PMingLiU" w:cs="PMingLiU" w:eastAsia="PMingLiU" w:hAnsi="PMingLiU"/>
          <w:sz w:val="13"/>
          <w:szCs w:val="13"/>
          <w:color w:val="FFFFFF"/>
        </w:rPr>
        <w:t/>
      </w:r>
      <w:r>
        <w:rPr>
          <w:rFonts w:ascii="Arial" w:cs="Arial" w:eastAsia="Arial" w:hAnsi="Arial"/>
          <w:sz w:val="13"/>
          <w:szCs w:val="13"/>
          <w:color w:val="FFFFFF"/>
        </w:rPr>
        <w:t xml:space="preserve"> </w:t>
      </w:r>
      <w:r>
        <w:rPr>
          <w:rFonts w:ascii="Arial" w:cs="Arial" w:eastAsia="Arial" w:hAnsi="Arial"/>
          <w:sz w:val="13"/>
          <w:szCs w:val="13"/>
          <w:color w:val="FFFFFF"/>
        </w:rPr>
        <w:t xml:space="preserve">retinopathy, retinal vein occlusion, or wet AMD; the risk that a BLA for tarcocimab tedromer or any other product candidate may not be accepted by, or receive approval from, the FDA or foreign regulatory agencies when expected,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ƏɎ</w:t>
      </w:r>
      <w:r>
        <w:rPr>
          <w:rFonts w:ascii="PMingLiU" w:cs="PMingLiU" w:eastAsia="PMingLiU" w:hAnsi="PMingLiU"/>
          <w:sz w:val="13"/>
          <w:szCs w:val="13"/>
          <w:color w:val="FFFFFF"/>
        </w:rPr>
        <w:t/>
      </w:r>
      <w:r>
        <w:rPr>
          <w:rFonts w:ascii="Arial" w:cs="Arial" w:eastAsia="Arial" w:hAnsi="Arial"/>
          <w:sz w:val="13"/>
          <w:szCs w:val="13"/>
          <w:color w:val="FFFFFF"/>
        </w:rPr>
        <w:t>ƏǼǼٕ</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ȸǣɀǸ</w:t>
      </w:r>
      <w:r>
        <w:rPr>
          <w:rFonts w:ascii="PMingLiU" w:cs="PMingLiU" w:eastAsia="PMingLiU" w:hAnsi="PMingLiU"/>
          <w:sz w:val="13"/>
          <w:szCs w:val="13"/>
          <w:color w:val="FFFFFF"/>
        </w:rPr>
        <w:t/>
      </w:r>
      <w:r>
        <w:rPr>
          <w:rFonts w:ascii="Arial" w:cs="Arial" w:eastAsia="Arial" w:hAnsi="Arial"/>
          <w:sz w:val="13"/>
          <w:szCs w:val="13"/>
          <w:color w:val="FFFFFF"/>
        </w:rPr>
        <w:t>ɎǝƏɎ</w:t>
      </w:r>
      <w:r>
        <w:rPr>
          <w:rFonts w:ascii="PMingLiU" w:cs="PMingLiU" w:eastAsia="PMingLiU" w:hAnsi="PMingLiU"/>
          <w:sz w:val="13"/>
          <w:szCs w:val="13"/>
          <w:color w:val="FFFFFF"/>
        </w:rPr>
        <w:t/>
      </w:r>
      <w:r>
        <w:rPr>
          <w:rFonts w:ascii="Arial" w:cs="Arial" w:eastAsia="Arial" w:hAnsi="Arial"/>
          <w:sz w:val="13"/>
          <w:szCs w:val="13"/>
          <w:color w:val="FFFFFF"/>
        </w:rPr>
        <w:t>ƬƺɀɀƏɎǣȒȇً</w:t>
      </w:r>
      <w:r>
        <w:rPr>
          <w:rFonts w:ascii="PMingLiU" w:cs="PMingLiU" w:eastAsia="PMingLiU" w:hAnsi="PMingLiU"/>
          <w:sz w:val="13"/>
          <w:szCs w:val="13"/>
          <w:color w:val="FFFFFF"/>
        </w:rPr>
        <w:t/>
      </w:r>
      <w:r>
        <w:rPr>
          <w:rFonts w:ascii="Arial" w:cs="Arial" w:eastAsia="Arial" w:hAnsi="Arial"/>
          <w:sz w:val="13"/>
          <w:szCs w:val="13"/>
          <w:color w:val="FFFFFF"/>
        </w:rPr>
        <w:t>ȅȒƳǣˡƬƏɎǣȒȇً</w:t>
      </w:r>
      <w:r>
        <w:rPr>
          <w:rFonts w:ascii="PMingLiU" w:cs="PMingLiU" w:eastAsia="PMingLiU" w:hAnsi="PMingLiU"/>
          <w:sz w:val="13"/>
          <w:szCs w:val="13"/>
          <w:color w:val="FFFFFF"/>
        </w:rPr>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ƳƺǼƏɵ</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Əȇɵ</w:t>
      </w:r>
      <w:r>
        <w:rPr>
          <w:rFonts w:ascii="PMingLiU" w:cs="PMingLiU" w:eastAsia="PMingLiU" w:hAnsi="PMingLiU"/>
          <w:sz w:val="13"/>
          <w:szCs w:val="13"/>
          <w:color w:val="FFFFFF"/>
        </w:rPr>
        <w:t/>
      </w:r>
      <w:r>
        <w:rPr>
          <w:rFonts w:ascii="Arial" w:cs="Arial" w:eastAsia="Arial" w:hAnsi="Arial"/>
          <w:sz w:val="13"/>
          <w:szCs w:val="13"/>
          <w:color w:val="FFFFFF"/>
        </w:rPr>
        <w:t>ȒȇǕȒǣȇǕ</w:t>
      </w:r>
      <w:r>
        <w:rPr>
          <w:rFonts w:ascii="PMingLiU" w:cs="PMingLiU" w:eastAsia="PMingLiU" w:hAnsi="PMingLiU"/>
          <w:sz w:val="13"/>
          <w:szCs w:val="13"/>
          <w:color w:val="FFFFFF"/>
        </w:rPr>
        <w:t/>
      </w:r>
      <w:r>
        <w:rPr>
          <w:rFonts w:ascii="Arial" w:cs="Arial" w:eastAsia="Arial" w:hAnsi="Arial"/>
          <w:sz w:val="13"/>
          <w:szCs w:val="13"/>
          <w:color w:val="FFFFFF"/>
        </w:rPr>
        <w:t>ƬǼǣȇǣƬƏǼ</w:t>
      </w:r>
      <w:r>
        <w:rPr>
          <w:rFonts w:ascii="PMingLiU" w:cs="PMingLiU" w:eastAsia="PMingLiU" w:hAnsi="PMingLiU"/>
          <w:sz w:val="13"/>
          <w:szCs w:val="13"/>
          <w:color w:val="FFFFFF"/>
        </w:rPr>
        <w:t/>
      </w:r>
      <w:r>
        <w:rPr>
          <w:rFonts w:ascii="Arial" w:cs="Arial" w:eastAsia="Arial" w:hAnsi="Arial"/>
          <w:sz w:val="13"/>
          <w:szCs w:val="13"/>
          <w:color w:val="FFFFFF"/>
        </w:rPr>
        <w:t>ɀɎɖƳǣƺɀ</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kȒƳǣƏǸټɀ</w:t>
      </w:r>
      <w:r>
        <w:rPr>
          <w:rFonts w:ascii="PMingLiU" w:cs="PMingLiU" w:eastAsia="PMingLiU" w:hAnsi="PMingLiU"/>
          <w:sz w:val="13"/>
          <w:szCs w:val="13"/>
          <w:color w:val="FFFFFF"/>
        </w:rPr>
        <w:t/>
      </w:r>
      <w:r>
        <w:rPr>
          <w:rFonts w:ascii="Arial" w:cs="Arial" w:eastAsia="Arial" w:hAnsi="Arial"/>
          <w:sz w:val="13"/>
          <w:szCs w:val="13"/>
          <w:color w:val="FFFFFF"/>
        </w:rPr>
        <w:t>ƳƺɮƺǼȒȵȅƺȇɎ</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 xml:space="preserve"> ñƺȇǸɖƳƏً</w:t>
      </w:r>
      <w:r>
        <w:rPr>
          <w:rFonts w:ascii="PMingLiU" w:cs="PMingLiU" w:eastAsia="PMingLiU" w:hAnsi="PMingLiU"/>
          <w:sz w:val="13"/>
          <w:szCs w:val="13"/>
          <w:color w:val="FFFFFF"/>
        </w:rPr>
        <w:t/>
      </w:r>
      <w:r>
        <w:rPr>
          <w:rFonts w:ascii="Arial" w:cs="Arial" w:eastAsia="Arial" w:hAnsi="Arial"/>
          <w:sz w:val="13"/>
          <w:szCs w:val="13"/>
          <w:color w:val="FFFFFF"/>
        </w:rPr>
        <w:t>k³Xٮד ً</w:t>
      </w:r>
      <w:r>
        <w:rPr>
          <w:rFonts w:ascii="PMingLiU" w:cs="PMingLiU" w:eastAsia="PMingLiU" w:hAnsi="PMingLiU"/>
          <w:sz w:val="13"/>
          <w:szCs w:val="13"/>
          <w:color w:val="FFFFFF"/>
        </w:rPr>
        <w:t/>
      </w:r>
      <w:r>
        <w:rPr>
          <w:rFonts w:ascii="Arial" w:cs="Arial" w:eastAsia="Arial" w:hAnsi="Arial"/>
          <w:sz w:val="13"/>
          <w:szCs w:val="13"/>
          <w:color w:val="FFFFFF"/>
        </w:rPr>
        <w:t>k³Xٮ ً</w:t>
      </w:r>
      <w:r>
        <w:rPr>
          <w:rFonts w:ascii="PMingLiU" w:cs="PMingLiU" w:eastAsia="PMingLiU" w:hAnsi="PMingLiU"/>
          <w:sz w:val="13"/>
          <w:szCs w:val="13"/>
          <w:color w:val="FFFFFF"/>
        </w:rPr>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Əȇɵ</w:t>
      </w:r>
      <w:r>
        <w:rPr>
          <w:rFonts w:ascii="PMingLiU" w:cs="PMingLiU" w:eastAsia="PMingLiU" w:hAnsi="PMingLiU"/>
          <w:sz w:val="13"/>
          <w:szCs w:val="13"/>
          <w:color w:val="FFFFFF"/>
        </w:rPr>
        <w:t/>
      </w:r>
      <w:r>
        <w:rPr>
          <w:rFonts w:ascii="Arial" w:cs="Arial" w:eastAsia="Arial" w:hAnsi="Arial"/>
          <w:sz w:val="13"/>
          <w:szCs w:val="13"/>
          <w:color w:val="FFFFFF"/>
        </w:rPr>
        <w:t>ȒɎǝƺȸ</w:t>
      </w:r>
      <w:r>
        <w:rPr>
          <w:rFonts w:ascii="PMingLiU" w:cs="PMingLiU" w:eastAsia="PMingLiU" w:hAnsi="PMingLiU"/>
          <w:sz w:val="13"/>
          <w:szCs w:val="13"/>
          <w:color w:val="FFFFFF"/>
        </w:rPr>
        <w:t/>
      </w:r>
      <w:r>
        <w:rPr>
          <w:rFonts w:ascii="Arial" w:cs="Arial" w:eastAsia="Arial" w:hAnsi="Arial"/>
          <w:sz w:val="13"/>
          <w:szCs w:val="13"/>
          <w:color w:val="FFFFFF"/>
        </w:rPr>
        <w:t>ȵȸȒƳɖƬɎ</w:t>
      </w:r>
      <w:r>
        <w:rPr>
          <w:rFonts w:ascii="PMingLiU" w:cs="PMingLiU" w:eastAsia="PMingLiU" w:hAnsi="PMingLiU"/>
          <w:sz w:val="13"/>
          <w:szCs w:val="13"/>
          <w:color w:val="FFFFFF"/>
        </w:rPr>
        <w:t/>
      </w:r>
      <w:r>
        <w:rPr>
          <w:rFonts w:ascii="Arial" w:cs="Arial" w:eastAsia="Arial" w:hAnsi="Arial"/>
          <w:sz w:val="13"/>
          <w:szCs w:val="13"/>
          <w:color w:val="FFFFFF"/>
        </w:rPr>
        <w:t>ƬƏȇƳǣƳƏɎƺ</w:t>
      </w:r>
      <w:r>
        <w:rPr>
          <w:rFonts w:ascii="PMingLiU" w:cs="PMingLiU" w:eastAsia="PMingLiU" w:hAnsi="PMingLiU"/>
          <w:sz w:val="13"/>
          <w:szCs w:val="13"/>
          <w:color w:val="FFFFFF"/>
        </w:rPr>
        <w:t/>
      </w:r>
      <w:r>
        <w:rPr>
          <w:rFonts w:ascii="Arial" w:cs="Arial" w:eastAsia="Arial" w:hAnsi="Arial"/>
          <w:sz w:val="13"/>
          <w:szCs w:val="13"/>
          <w:color w:val="FFFFFF"/>
        </w:rPr>
        <w:t>ȅƏɵ</w:t>
      </w:r>
      <w:r>
        <w:rPr>
          <w:rFonts w:ascii="PMingLiU" w:cs="PMingLiU" w:eastAsia="PMingLiU" w:hAnsi="PMingLiU"/>
          <w:sz w:val="13"/>
          <w:szCs w:val="13"/>
          <w:color w:val="FFFFFF"/>
        </w:rPr>
        <w:t/>
      </w:r>
      <w:r>
        <w:rPr>
          <w:rFonts w:ascii="Arial" w:cs="Arial" w:eastAsia="Arial" w:hAnsi="Arial"/>
          <w:sz w:val="13"/>
          <w:szCs w:val="13"/>
          <w:color w:val="FFFFFF"/>
        </w:rPr>
        <w:t>ȒƬƬɖȸٕ</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ȸǣɀǸ</w:t>
      </w:r>
      <w:r>
        <w:rPr>
          <w:rFonts w:ascii="PMingLiU" w:cs="PMingLiU" w:eastAsia="PMingLiU" w:hAnsi="PMingLiU"/>
          <w:sz w:val="13"/>
          <w:szCs w:val="13"/>
          <w:color w:val="FFFFFF"/>
        </w:rPr>
        <w:t/>
      </w:r>
      <w:r>
        <w:rPr>
          <w:rFonts w:ascii="Arial" w:cs="Arial" w:eastAsia="Arial" w:hAnsi="Arial"/>
          <w:sz w:val="13"/>
          <w:szCs w:val="13"/>
          <w:color w:val="FFFFFF"/>
        </w:rPr>
        <w:t>ɎǝƏɎ</w:t>
      </w:r>
      <w:r>
        <w:rPr>
          <w:rFonts w:ascii="PMingLiU" w:cs="PMingLiU" w:eastAsia="PMingLiU" w:hAnsi="PMingLiU"/>
          <w:sz w:val="13"/>
          <w:szCs w:val="13"/>
          <w:color w:val="FFFFFF"/>
        </w:rPr>
        <w:t/>
      </w:r>
      <w:r>
        <w:rPr>
          <w:rFonts w:ascii="Arial" w:cs="Arial" w:eastAsia="Arial" w:hAnsi="Arial"/>
          <w:sz w:val="13"/>
          <w:szCs w:val="13"/>
          <w:color w:val="FFFFFF"/>
        </w:rPr>
        <w:t>ɀƏǔƺɎɵً</w:t>
      </w:r>
      <w:r>
        <w:rPr>
          <w:rFonts w:ascii="PMingLiU" w:cs="PMingLiU" w:eastAsia="PMingLiU" w:hAnsi="PMingLiU"/>
          <w:sz w:val="13"/>
          <w:szCs w:val="13"/>
          <w:color w:val="FFFFFF"/>
        </w:rPr>
        <w:t/>
      </w:r>
      <w:r>
        <w:rPr>
          <w:rFonts w:ascii="Arial" w:cs="Arial" w:eastAsia="Arial" w:hAnsi="Arial"/>
          <w:sz w:val="13"/>
          <w:szCs w:val="13"/>
          <w:color w:val="FFFFFF"/>
        </w:rPr>
        <w:t>ƺǔˡƬƏƬɵً</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ƳɖȸƏƫǣǼǣɎɵ</w:t>
      </w:r>
      <w:r>
        <w:rPr>
          <w:rFonts w:ascii="PMingLiU" w:cs="PMingLiU" w:eastAsia="PMingLiU" w:hAnsi="PMingLiU"/>
          <w:sz w:val="13"/>
          <w:szCs w:val="13"/>
          <w:color w:val="FFFFFF"/>
        </w:rPr>
        <w:t/>
      </w:r>
      <w:r>
        <w:rPr>
          <w:rFonts w:ascii="Arial" w:cs="Arial" w:eastAsia="Arial" w:hAnsi="Arial"/>
          <w:sz w:val="13"/>
          <w:szCs w:val="13"/>
          <w:color w:val="FFFFFF"/>
        </w:rPr>
        <w:t>ƳƏɎƏ</w:t>
      </w:r>
      <w:r>
        <w:rPr>
          <w:rFonts w:ascii="PMingLiU" w:cs="PMingLiU" w:eastAsia="PMingLiU" w:hAnsi="PMingLiU"/>
          <w:sz w:val="13"/>
          <w:szCs w:val="13"/>
          <w:color w:val="FFFFFF"/>
        </w:rPr>
        <w:t/>
      </w:r>
      <w:r>
        <w:rPr>
          <w:rFonts w:ascii="Arial" w:cs="Arial" w:eastAsia="Arial" w:hAnsi="Arial"/>
          <w:sz w:val="13"/>
          <w:szCs w:val="13"/>
          <w:color w:val="FFFFFF"/>
        </w:rPr>
        <w:t xml:space="preserve"> </w:t>
      </w:r>
      <w:r>
        <w:rPr>
          <w:rFonts w:ascii="Arial" w:cs="Arial" w:eastAsia="Arial" w:hAnsi="Arial"/>
          <w:sz w:val="13"/>
          <w:szCs w:val="13"/>
          <w:color w:val="FFFFFF"/>
        </w:rPr>
        <w:t xml:space="preserve">observed in Kodiak’s product candidates in current or prior studies may not continue or persist; the risk that KSI-501 may not inhibit VEGF and IL-6 or have an impact on the treatment of patients as expected, and that preclinical data suggesting the possibility that KSI-501 may be a disease-modifying therapy may not translate to clinical outcomes; the risk that the DAYBREAK Phase 3 study for Zenkuda or KSI-501 may not achieve its primary endpoint or may not do so on the anticipated timeline; the risk that the PEAK Phase 3 study for KSI-101 may not achieve its primary endpoint or may not do so on the anticipated timeline; the risk that any one or more of Kodiak’s product candidates may not </w:t>
      </w:r>
      <w:r>
        <w:rPr>
          <w:rFonts w:ascii="Arial" w:cs="Arial" w:eastAsia="Arial" w:hAnsi="Arial"/>
          <w:sz w:val="13"/>
          <w:szCs w:val="13"/>
          <w:color w:val="FFFFFF"/>
        </w:rPr>
        <w:t>ƫƺ</w:t>
      </w:r>
      <w:r>
        <w:rPr>
          <w:rFonts w:ascii="PMingLiU" w:cs="PMingLiU" w:eastAsia="PMingLiU" w:hAnsi="PMingLiU"/>
          <w:sz w:val="13"/>
          <w:szCs w:val="13"/>
          <w:color w:val="FFFFFF"/>
        </w:rPr>
        <w:t/>
      </w:r>
      <w:r>
        <w:rPr>
          <w:rFonts w:ascii="Arial" w:cs="Arial" w:eastAsia="Arial" w:hAnsi="Arial"/>
          <w:sz w:val="13"/>
          <w:szCs w:val="13"/>
          <w:color w:val="FFFFFF"/>
        </w:rPr>
        <w:t>ɀɖƬƬƺɀɀǔɖǼǼɵ</w:t>
      </w:r>
      <w:r>
        <w:rPr>
          <w:rFonts w:ascii="PMingLiU" w:cs="PMingLiU" w:eastAsia="PMingLiU" w:hAnsi="PMingLiU"/>
          <w:sz w:val="13"/>
          <w:szCs w:val="13"/>
          <w:color w:val="FFFFFF"/>
        </w:rPr>
        <w:t/>
      </w:r>
      <w:r>
        <w:rPr>
          <w:rFonts w:ascii="Arial" w:cs="Arial" w:eastAsia="Arial" w:hAnsi="Arial"/>
          <w:sz w:val="13"/>
          <w:szCs w:val="13"/>
          <w:color w:val="FFFFFF"/>
        </w:rPr>
        <w:t>ƳƺɮƺǼȒȵƺƳً</w:t>
      </w:r>
      <w:r>
        <w:rPr>
          <w:rFonts w:ascii="PMingLiU" w:cs="PMingLiU" w:eastAsia="PMingLiU" w:hAnsi="PMingLiU"/>
          <w:sz w:val="13"/>
          <w:szCs w:val="13"/>
          <w:color w:val="FFFFFF"/>
        </w:rPr>
        <w:t/>
      </w:r>
      <w:r>
        <w:rPr>
          <w:rFonts w:ascii="Arial" w:cs="Arial" w:eastAsia="Arial" w:hAnsi="Arial"/>
          <w:sz w:val="13"/>
          <w:szCs w:val="13"/>
          <w:color w:val="FFFFFF"/>
        </w:rPr>
        <w:t>ƏȵȵȸȒɮƺƳً</w:t>
      </w:r>
      <w:r>
        <w:rPr>
          <w:rFonts w:ascii="PMingLiU" w:cs="PMingLiU" w:eastAsia="PMingLiU" w:hAnsi="PMingLiU"/>
          <w:sz w:val="13"/>
          <w:szCs w:val="13"/>
          <w:color w:val="FFFFFF"/>
        </w:rPr>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ƬȒȅȅƺȸƬǣƏǼǣɿƺƳٕ</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ȸǣɀǸ</w:t>
      </w:r>
      <w:r>
        <w:rPr>
          <w:rFonts w:ascii="PMingLiU" w:cs="PMingLiU" w:eastAsia="PMingLiU" w:hAnsi="PMingLiU"/>
          <w:sz w:val="13"/>
          <w:szCs w:val="13"/>
          <w:color w:val="FFFFFF"/>
        </w:rPr>
        <w:t/>
      </w:r>
      <w:r>
        <w:rPr>
          <w:rFonts w:ascii="Arial" w:cs="Arial" w:eastAsia="Arial" w:hAnsi="Arial"/>
          <w:sz w:val="13"/>
          <w:szCs w:val="13"/>
          <w:color w:val="FFFFFF"/>
        </w:rPr>
        <w:t>ɎǝƏɎ</w:t>
      </w:r>
      <w:r>
        <w:rPr>
          <w:rFonts w:ascii="PMingLiU" w:cs="PMingLiU" w:eastAsia="PMingLiU" w:hAnsi="PMingLiU"/>
          <w:sz w:val="13"/>
          <w:szCs w:val="13"/>
          <w:color w:val="FFFFFF"/>
        </w:rPr>
        <w:t/>
      </w:r>
      <w:r>
        <w:rPr>
          <w:rFonts w:ascii="Arial" w:cs="Arial" w:eastAsia="Arial" w:hAnsi="Arial"/>
          <w:sz w:val="13"/>
          <w:szCs w:val="13"/>
          <w:color w:val="FFFFFF"/>
        </w:rPr>
        <w:t>kȒƳǣƏǸټɀ</w:t>
      </w:r>
      <w:r>
        <w:rPr>
          <w:rFonts w:ascii="PMingLiU" w:cs="PMingLiU" w:eastAsia="PMingLiU" w:hAnsi="PMingLiU"/>
          <w:sz w:val="13"/>
          <w:szCs w:val="13"/>
          <w:color w:val="FFFFFF"/>
        </w:rPr>
        <w:t/>
      </w:r>
      <w:r>
        <w:rPr>
          <w:rFonts w:ascii="Arial" w:cs="Arial" w:eastAsia="Arial" w:hAnsi="Arial"/>
          <w:sz w:val="13"/>
          <w:szCs w:val="13"/>
          <w:color w:val="FFFFFF"/>
        </w:rPr>
        <w:t>ȸƺɀƺƏȸƬǝ</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ƳƺɮƺǼȒȵȅƺȇɎ</w:t>
      </w:r>
      <w:r>
        <w:rPr>
          <w:rFonts w:ascii="PMingLiU" w:cs="PMingLiU" w:eastAsia="PMingLiU" w:hAnsi="PMingLiU"/>
          <w:sz w:val="13"/>
          <w:szCs w:val="13"/>
          <w:color w:val="FFFFFF"/>
        </w:rPr>
        <w:t/>
      </w:r>
      <w:r>
        <w:rPr>
          <w:rFonts w:ascii="Arial" w:cs="Arial" w:eastAsia="Arial" w:hAnsi="Arial"/>
          <w:sz w:val="13"/>
          <w:szCs w:val="13"/>
          <w:color w:val="FFFFFF"/>
        </w:rPr>
        <w:t>ƺǔǔȒȸɎɀ</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 xml:space="preserve"> ƏƫǣǼǣɎɵ</w:t>
      </w:r>
      <w:r>
        <w:rPr>
          <w:rFonts w:ascii="PMingLiU" w:cs="PMingLiU" w:eastAsia="PMingLiU" w:hAnsi="PMingLiU"/>
          <w:sz w:val="13"/>
          <w:szCs w:val="13"/>
          <w:color w:val="FFFFFF"/>
        </w:rPr>
        <w:t/>
      </w:r>
      <w:r>
        <w:rPr>
          <w:rFonts w:ascii="Arial" w:cs="Arial" w:eastAsia="Arial" w:hAnsi="Arial"/>
          <w:sz w:val="13"/>
          <w:szCs w:val="13"/>
          <w:color w:val="FFFFFF"/>
        </w:rPr>
        <w:t>ɎȒ</w:t>
      </w:r>
      <w:r>
        <w:rPr>
          <w:rFonts w:ascii="PMingLiU" w:cs="PMingLiU" w:eastAsia="PMingLiU" w:hAnsi="PMingLiU"/>
          <w:sz w:val="13"/>
          <w:szCs w:val="13"/>
          <w:color w:val="FFFFFF"/>
        </w:rPr>
        <w:t/>
      </w:r>
      <w:r>
        <w:rPr>
          <w:rFonts w:ascii="Arial" w:cs="Arial" w:eastAsia="Arial" w:hAnsi="Arial"/>
          <w:sz w:val="13"/>
          <w:szCs w:val="13"/>
          <w:color w:val="FFFFFF"/>
        </w:rPr>
        <w:t>ƏƳɮƏȇƬƺ</w:t>
      </w:r>
      <w:r>
        <w:rPr>
          <w:rFonts w:ascii="PMingLiU" w:cs="PMingLiU" w:eastAsia="PMingLiU" w:hAnsi="PMingLiU"/>
          <w:sz w:val="13"/>
          <w:szCs w:val="13"/>
          <w:color w:val="FFFFFF"/>
        </w:rPr>
        <w:t/>
      </w:r>
      <w:r>
        <w:rPr>
          <w:rFonts w:ascii="Arial" w:cs="Arial" w:eastAsia="Arial" w:hAnsi="Arial"/>
          <w:sz w:val="13"/>
          <w:szCs w:val="13"/>
          <w:color w:val="FFFFFF"/>
        </w:rPr>
        <w:t>ȵȸȒƳɖƬɎ</w:t>
      </w:r>
      <w:r>
        <w:rPr>
          <w:rFonts w:ascii="PMingLiU" w:cs="PMingLiU" w:eastAsia="PMingLiU" w:hAnsi="PMingLiU"/>
          <w:sz w:val="13"/>
          <w:szCs w:val="13"/>
          <w:color w:val="FFFFFF"/>
        </w:rPr>
        <w:t/>
      </w:r>
      <w:r>
        <w:rPr>
          <w:rFonts w:ascii="Arial" w:cs="Arial" w:eastAsia="Arial" w:hAnsi="Arial"/>
          <w:sz w:val="13"/>
          <w:szCs w:val="13"/>
          <w:color w:val="FFFFFF"/>
        </w:rPr>
        <w:t>ƬƏȇƳǣƳƏɎƺɀ</w:t>
      </w:r>
      <w:r>
        <w:rPr>
          <w:rFonts w:ascii="PMingLiU" w:cs="PMingLiU" w:eastAsia="PMingLiU" w:hAnsi="PMingLiU"/>
          <w:sz w:val="13"/>
          <w:szCs w:val="13"/>
          <w:color w:val="FFFFFF"/>
        </w:rPr>
        <w:t/>
      </w:r>
      <w:r>
        <w:rPr>
          <w:rFonts w:ascii="Arial" w:cs="Arial" w:eastAsia="Arial" w:hAnsi="Arial"/>
          <w:sz w:val="13"/>
          <w:szCs w:val="13"/>
          <w:color w:val="FFFFFF"/>
        </w:rPr>
        <w:t>ǣȇɎȒ</w:t>
      </w:r>
      <w:r>
        <w:rPr>
          <w:rFonts w:ascii="PMingLiU" w:cs="PMingLiU" w:eastAsia="PMingLiU" w:hAnsi="PMingLiU"/>
          <w:sz w:val="13"/>
          <w:szCs w:val="13"/>
          <w:color w:val="FFFFFF"/>
        </w:rPr>
        <w:t/>
      </w:r>
      <w:r>
        <w:rPr>
          <w:rFonts w:ascii="Arial" w:cs="Arial" w:eastAsia="Arial" w:hAnsi="Arial"/>
          <w:sz w:val="13"/>
          <w:szCs w:val="13"/>
          <w:color w:val="FFFFFF"/>
        </w:rPr>
        <w:t>ǼƏɎƺȸ</w:t>
      </w:r>
      <w:r>
        <w:rPr>
          <w:rFonts w:ascii="PMingLiU" w:cs="PMingLiU" w:eastAsia="PMingLiU" w:hAnsi="PMingLiU"/>
          <w:sz w:val="13"/>
          <w:szCs w:val="13"/>
          <w:color w:val="FFFFFF"/>
        </w:rPr>
        <w:t/>
      </w:r>
      <w:r>
        <w:rPr>
          <w:rFonts w:ascii="Arial" w:cs="Arial" w:eastAsia="Arial" w:hAnsi="Arial"/>
          <w:sz w:val="13"/>
          <w:szCs w:val="13"/>
          <w:color w:val="FFFFFF"/>
        </w:rPr>
        <w:t>ɀɎƏǕƺɀ</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ƳƺɮƺǼȒȵȅƺȇɎ</w:t>
      </w:r>
      <w:r>
        <w:rPr>
          <w:rFonts w:ascii="PMingLiU" w:cs="PMingLiU" w:eastAsia="PMingLiU" w:hAnsi="PMingLiU"/>
          <w:sz w:val="13"/>
          <w:szCs w:val="13"/>
          <w:color w:val="FFFFFF"/>
        </w:rPr>
        <w:t/>
      </w:r>
      <w:r>
        <w:rPr>
          <w:rFonts w:ascii="Arial" w:cs="Arial" w:eastAsia="Arial" w:hAnsi="Arial"/>
          <w:sz w:val="13"/>
          <w:szCs w:val="13"/>
          <w:color w:val="FFFFFF"/>
        </w:rPr>
        <w:t>ȅƏɵ</w:t>
      </w:r>
      <w:r>
        <w:rPr>
          <w:rFonts w:ascii="PMingLiU" w:cs="PMingLiU" w:eastAsia="PMingLiU" w:hAnsi="PMingLiU"/>
          <w:sz w:val="13"/>
          <w:szCs w:val="13"/>
          <w:color w:val="FFFFFF"/>
        </w:rPr>
        <w:t/>
      </w:r>
      <w:r>
        <w:rPr>
          <w:rFonts w:ascii="Arial" w:cs="Arial" w:eastAsia="Arial" w:hAnsi="Arial"/>
          <w:sz w:val="13"/>
          <w:szCs w:val="13"/>
          <w:color w:val="FFFFFF"/>
        </w:rPr>
        <w:t>ǔƏǣǼٕ</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ȸǣɀǸ</w:t>
      </w:r>
      <w:r>
        <w:rPr>
          <w:rFonts w:ascii="PMingLiU" w:cs="PMingLiU" w:eastAsia="PMingLiU" w:hAnsi="PMingLiU"/>
          <w:sz w:val="13"/>
          <w:szCs w:val="13"/>
          <w:color w:val="FFFFFF"/>
        </w:rPr>
        <w:t/>
      </w:r>
      <w:r>
        <w:rPr>
          <w:rFonts w:ascii="Arial" w:cs="Arial" w:eastAsia="Arial" w:hAnsi="Arial"/>
          <w:sz w:val="13"/>
          <w:szCs w:val="13"/>
          <w:color w:val="FFFFFF"/>
        </w:rPr>
        <w:t>ɎǝƏɎ</w:t>
      </w:r>
      <w:r>
        <w:rPr>
          <w:rFonts w:ascii="PMingLiU" w:cs="PMingLiU" w:eastAsia="PMingLiU" w:hAnsi="PMingLiU"/>
          <w:sz w:val="13"/>
          <w:szCs w:val="13"/>
          <w:color w:val="FFFFFF"/>
        </w:rPr>
        <w:t/>
      </w:r>
      <w:r>
        <w:rPr>
          <w:rFonts w:ascii="Arial" w:cs="Arial" w:eastAsia="Arial" w:hAnsi="Arial"/>
          <w:sz w:val="13"/>
          <w:szCs w:val="13"/>
          <w:color w:val="FFFFFF"/>
        </w:rPr>
        <w:t>ɀɖǔˡƬǣƺȇɎ</w:t>
      </w:r>
      <w:r>
        <w:rPr>
          <w:rFonts w:ascii="PMingLiU" w:cs="PMingLiU" w:eastAsia="PMingLiU" w:hAnsi="PMingLiU"/>
          <w:sz w:val="13"/>
          <w:szCs w:val="13"/>
          <w:color w:val="FFFFFF"/>
        </w:rPr>
        <w:t/>
      </w:r>
      <w:r>
        <w:rPr>
          <w:rFonts w:ascii="Arial" w:cs="Arial" w:eastAsia="Arial" w:hAnsi="Arial"/>
          <w:sz w:val="13"/>
          <w:szCs w:val="13"/>
          <w:color w:val="FFFFFF"/>
        </w:rPr>
        <w:t>ƬƏȵǣɎƏǼ</w:t>
      </w:r>
      <w:r>
        <w:rPr>
          <w:rFonts w:ascii="PMingLiU" w:cs="PMingLiU" w:eastAsia="PMingLiU" w:hAnsi="PMingLiU"/>
          <w:sz w:val="13"/>
          <w:szCs w:val="13"/>
          <w:color w:val="FFFFFF"/>
        </w:rPr>
        <w:t/>
      </w:r>
      <w:r>
        <w:rPr>
          <w:rFonts w:ascii="Arial" w:cs="Arial" w:eastAsia="Arial" w:hAnsi="Arial"/>
          <w:sz w:val="13"/>
          <w:szCs w:val="13"/>
          <w:color w:val="FFFFFF"/>
        </w:rPr>
        <w:t>ȅƏɵ</w:t>
      </w:r>
      <w:r>
        <w:rPr>
          <w:rFonts w:ascii="PMingLiU" w:cs="PMingLiU" w:eastAsia="PMingLiU" w:hAnsi="PMingLiU"/>
          <w:sz w:val="13"/>
          <w:szCs w:val="13"/>
          <w:color w:val="FFFFFF"/>
        </w:rPr>
        <w:t/>
      </w:r>
      <w:r>
        <w:rPr>
          <w:rFonts w:ascii="Arial" w:cs="Arial" w:eastAsia="Arial" w:hAnsi="Arial"/>
          <w:sz w:val="13"/>
          <w:szCs w:val="13"/>
          <w:color w:val="FFFFFF"/>
        </w:rPr>
        <w:t xml:space="preserve"> </w:t>
      </w:r>
      <w:r>
        <w:rPr>
          <w:rFonts w:ascii="Arial" w:cs="Arial" w:eastAsia="Arial" w:hAnsi="Arial"/>
          <w:sz w:val="13"/>
          <w:szCs w:val="13"/>
          <w:color w:val="FFFFFF"/>
        </w:rPr>
        <w:t xml:space="preserve">not be available as expected, or at all, to complete the development of any products; adverse conditions in the general </w:t>
      </w:r>
      <w:r>
        <w:rPr>
          <w:rFonts w:ascii="Arial" w:cs="Arial" w:eastAsia="Arial" w:hAnsi="Arial"/>
          <w:sz w:val="13"/>
          <w:szCs w:val="13"/>
          <w:color w:val="FFFFFF"/>
        </w:rPr>
        <w:t>ƳȒȅƺɀɎǣƬ</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ǕǼȒƫƏǼ</w:t>
      </w:r>
      <w:r>
        <w:rPr>
          <w:rFonts w:ascii="PMingLiU" w:cs="PMingLiU" w:eastAsia="PMingLiU" w:hAnsi="PMingLiU"/>
          <w:sz w:val="13"/>
          <w:szCs w:val="13"/>
          <w:color w:val="FFFFFF"/>
        </w:rPr>
        <w:t/>
      </w:r>
      <w:r>
        <w:rPr>
          <w:rFonts w:ascii="Arial" w:cs="Arial" w:eastAsia="Arial" w:hAnsi="Arial"/>
          <w:sz w:val="13"/>
          <w:szCs w:val="13"/>
          <w:color w:val="FFFFFF"/>
        </w:rPr>
        <w:t>ƺƬȒȇȒȅǣƬ</w:t>
      </w:r>
      <w:r>
        <w:rPr>
          <w:rFonts w:ascii="PMingLiU" w:cs="PMingLiU" w:eastAsia="PMingLiU" w:hAnsi="PMingLiU"/>
          <w:sz w:val="13"/>
          <w:szCs w:val="13"/>
          <w:color w:val="FFFFFF"/>
        </w:rPr>
        <w:t/>
      </w:r>
      <w:r>
        <w:rPr>
          <w:rFonts w:ascii="Arial" w:cs="Arial" w:eastAsia="Arial" w:hAnsi="Arial"/>
          <w:sz w:val="13"/>
          <w:szCs w:val="13"/>
          <w:color w:val="FFFFFF"/>
        </w:rPr>
        <w:t>ȅƏȸǸƺɎɀً</w:t>
      </w:r>
      <w:r>
        <w:rPr>
          <w:rFonts w:ascii="PMingLiU" w:cs="PMingLiU" w:eastAsia="PMingLiU" w:hAnsi="PMingLiU"/>
          <w:sz w:val="13"/>
          <w:szCs w:val="13"/>
          <w:color w:val="FFFFFF"/>
        </w:rPr>
        <w:t/>
      </w:r>
      <w:r>
        <w:rPr>
          <w:rFonts w:ascii="Arial" w:cs="Arial" w:eastAsia="Arial" w:hAnsi="Arial"/>
          <w:sz w:val="13"/>
          <w:szCs w:val="13"/>
          <w:color w:val="FFFFFF"/>
        </w:rPr>
        <w:t>ɯǝǣƬǝ</w:t>
      </w:r>
      <w:r>
        <w:rPr>
          <w:rFonts w:ascii="PMingLiU" w:cs="PMingLiU" w:eastAsia="PMingLiU" w:hAnsi="PMingLiU"/>
          <w:sz w:val="13"/>
          <w:szCs w:val="13"/>
          <w:color w:val="FFFFFF"/>
        </w:rPr>
        <w:t/>
      </w:r>
      <w:r>
        <w:rPr>
          <w:rFonts w:ascii="Arial" w:cs="Arial" w:eastAsia="Arial" w:hAnsi="Arial"/>
          <w:sz w:val="13"/>
          <w:szCs w:val="13"/>
          <w:color w:val="FFFFFF"/>
        </w:rPr>
        <w:t>ȅƏɵ</w:t>
      </w:r>
      <w:r>
        <w:rPr>
          <w:rFonts w:ascii="PMingLiU" w:cs="PMingLiU" w:eastAsia="PMingLiU" w:hAnsi="PMingLiU"/>
          <w:sz w:val="13"/>
          <w:szCs w:val="13"/>
          <w:color w:val="FFFFFF"/>
        </w:rPr>
        <w:t/>
      </w:r>
      <w:r>
        <w:rPr>
          <w:rFonts w:ascii="Arial" w:cs="Arial" w:eastAsia="Arial" w:hAnsi="Arial"/>
          <w:sz w:val="13"/>
          <w:szCs w:val="13"/>
          <w:color w:val="FFFFFF"/>
        </w:rPr>
        <w:t>ɀǣǕȇǣˡƬƏȇɎǼɵ</w:t>
      </w:r>
      <w:r>
        <w:rPr>
          <w:rFonts w:ascii="PMingLiU" w:cs="PMingLiU" w:eastAsia="PMingLiU" w:hAnsi="PMingLiU"/>
          <w:sz w:val="13"/>
          <w:szCs w:val="13"/>
          <w:color w:val="FFFFFF"/>
        </w:rPr>
        <w:t/>
      </w:r>
      <w:r>
        <w:rPr>
          <w:rFonts w:ascii="Arial" w:cs="Arial" w:eastAsia="Arial" w:hAnsi="Arial"/>
          <w:sz w:val="13"/>
          <w:szCs w:val="13"/>
          <w:color w:val="FFFFFF"/>
        </w:rPr>
        <w:t>ǣȅȵƏƬɎ</w:t>
      </w:r>
      <w:r>
        <w:rPr>
          <w:rFonts w:ascii="PMingLiU" w:cs="PMingLiU" w:eastAsia="PMingLiU" w:hAnsi="PMingLiU"/>
          <w:sz w:val="13"/>
          <w:szCs w:val="13"/>
          <w:color w:val="FFFFFF"/>
        </w:rPr>
        <w:t/>
      </w:r>
      <w:r>
        <w:rPr>
          <w:rFonts w:ascii="Arial" w:cs="Arial" w:eastAsia="Arial" w:hAnsi="Arial"/>
          <w:sz w:val="13"/>
          <w:szCs w:val="13"/>
          <w:color w:val="FFFFFF"/>
        </w:rPr>
        <w:t>kȒƳǣƏǸټɀ</w:t>
      </w:r>
      <w:r>
        <w:rPr>
          <w:rFonts w:ascii="PMingLiU" w:cs="PMingLiU" w:eastAsia="PMingLiU" w:hAnsi="PMingLiU"/>
          <w:sz w:val="13"/>
          <w:szCs w:val="13"/>
          <w:color w:val="FFFFFF"/>
        </w:rPr>
        <w:t/>
      </w:r>
      <w:r>
        <w:rPr>
          <w:rFonts w:ascii="Arial" w:cs="Arial" w:eastAsia="Arial" w:hAnsi="Arial"/>
          <w:sz w:val="13"/>
          <w:szCs w:val="13"/>
          <w:color w:val="FFFFFF"/>
        </w:rPr>
        <w:t>ƫɖɀǣȇƺɀɀ</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ȒȵƺȸƏɎǣȒȇɀً</w:t>
      </w:r>
      <w:r>
        <w:rPr>
          <w:rFonts w:ascii="PMingLiU" w:cs="PMingLiU" w:eastAsia="PMingLiU" w:hAnsi="PMingLiU"/>
          <w:sz w:val="13"/>
          <w:szCs w:val="13"/>
          <w:color w:val="FFFFFF"/>
        </w:rPr>
        <w:t/>
      </w:r>
      <w:r>
        <w:rPr>
          <w:rFonts w:ascii="Arial" w:cs="Arial" w:eastAsia="Arial" w:hAnsi="Arial"/>
          <w:sz w:val="13"/>
          <w:szCs w:val="13"/>
          <w:color w:val="FFFFFF"/>
        </w:rPr>
        <w:t>ǣȇƬǼɖƳǣȇǕ</w:t>
      </w:r>
      <w:r>
        <w:rPr>
          <w:rFonts w:ascii="PMingLiU" w:cs="PMingLiU" w:eastAsia="PMingLiU" w:hAnsi="PMingLiU"/>
          <w:sz w:val="13"/>
          <w:szCs w:val="13"/>
          <w:color w:val="FFFFFF"/>
        </w:rPr>
        <w:t/>
      </w:r>
      <w:r>
        <w:rPr>
          <w:rFonts w:ascii="Arial" w:cs="Arial" w:eastAsia="Arial" w:hAnsi="Arial"/>
          <w:sz w:val="13"/>
          <w:szCs w:val="13"/>
          <w:color w:val="FFFFFF"/>
        </w:rPr>
        <w:t xml:space="preserve"> ǣɎɀ</w:t>
      </w:r>
      <w:r>
        <w:rPr>
          <w:rFonts w:ascii="PMingLiU" w:cs="PMingLiU" w:eastAsia="PMingLiU" w:hAnsi="PMingLiU"/>
          <w:sz w:val="13"/>
          <w:szCs w:val="13"/>
          <w:color w:val="FFFFFF"/>
        </w:rPr>
        <w:t/>
      </w:r>
      <w:r>
        <w:rPr>
          <w:rFonts w:ascii="Arial" w:cs="Arial" w:eastAsia="Arial" w:hAnsi="Arial"/>
          <w:sz w:val="13"/>
          <w:szCs w:val="13"/>
          <w:color w:val="FFFFFF"/>
        </w:rPr>
        <w:t>ƬǼǣȇǣƬƏǼ</w:t>
      </w:r>
      <w:r>
        <w:rPr>
          <w:rFonts w:ascii="PMingLiU" w:cs="PMingLiU" w:eastAsia="PMingLiU" w:hAnsi="PMingLiU"/>
          <w:sz w:val="13"/>
          <w:szCs w:val="13"/>
          <w:color w:val="FFFFFF"/>
        </w:rPr>
        <w:t/>
      </w:r>
      <w:r>
        <w:rPr>
          <w:rFonts w:ascii="Arial" w:cs="Arial" w:eastAsia="Arial" w:hAnsi="Arial"/>
          <w:sz w:val="13"/>
          <w:szCs w:val="13"/>
          <w:color w:val="FFFFFF"/>
        </w:rPr>
        <w:t>ɎȸǣƏǼ</w:t>
      </w:r>
      <w:r>
        <w:rPr>
          <w:rFonts w:ascii="PMingLiU" w:cs="PMingLiU" w:eastAsia="PMingLiU" w:hAnsi="PMingLiU"/>
          <w:sz w:val="13"/>
          <w:szCs w:val="13"/>
          <w:color w:val="FFFFFF"/>
        </w:rPr>
        <w:t/>
      </w:r>
      <w:r>
        <w:rPr>
          <w:rFonts w:ascii="Arial" w:cs="Arial" w:eastAsia="Arial" w:hAnsi="Arial"/>
          <w:sz w:val="13"/>
          <w:szCs w:val="13"/>
          <w:color w:val="FFFFFF"/>
        </w:rPr>
        <w:t>ɀǣɎƺɀً</w:t>
      </w:r>
      <w:r>
        <w:rPr>
          <w:rFonts w:ascii="PMingLiU" w:cs="PMingLiU" w:eastAsia="PMingLiU" w:hAnsi="PMingLiU"/>
          <w:sz w:val="13"/>
          <w:szCs w:val="13"/>
          <w:color w:val="FFFFFF"/>
        </w:rPr>
        <w:t/>
      </w:r>
      <w:r>
        <w:rPr>
          <w:rFonts w:ascii="Arial" w:cs="Arial" w:eastAsia="Arial" w:hAnsi="Arial"/>
          <w:sz w:val="13"/>
          <w:szCs w:val="13"/>
          <w:color w:val="FFFFFF"/>
        </w:rPr>
        <w:t>Əɀ</w:t>
      </w:r>
      <w:r>
        <w:rPr>
          <w:rFonts w:ascii="PMingLiU" w:cs="PMingLiU" w:eastAsia="PMingLiU" w:hAnsi="PMingLiU"/>
          <w:sz w:val="13"/>
          <w:szCs w:val="13"/>
          <w:color w:val="FFFFFF"/>
        </w:rPr>
        <w:t/>
      </w:r>
      <w:r>
        <w:rPr>
          <w:rFonts w:ascii="Arial" w:cs="Arial" w:eastAsia="Arial" w:hAnsi="Arial"/>
          <w:sz w:val="13"/>
          <w:szCs w:val="13"/>
          <w:color w:val="FFFFFF"/>
        </w:rPr>
        <w:t>ɯƺǼǼ</w:t>
      </w:r>
      <w:r>
        <w:rPr>
          <w:rFonts w:ascii="PMingLiU" w:cs="PMingLiU" w:eastAsia="PMingLiU" w:hAnsi="PMingLiU"/>
          <w:sz w:val="13"/>
          <w:szCs w:val="13"/>
          <w:color w:val="FFFFFF"/>
        </w:rPr>
        <w:t/>
      </w:r>
      <w:r>
        <w:rPr>
          <w:rFonts w:ascii="Arial" w:cs="Arial" w:eastAsia="Arial" w:hAnsi="Arial"/>
          <w:sz w:val="13"/>
          <w:szCs w:val="13"/>
          <w:color w:val="FFFFFF"/>
        </w:rPr>
        <w:t>Əɀ</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ƫɖɀǣȇƺɀɀ</w:t>
      </w:r>
      <w:r>
        <w:rPr>
          <w:rFonts w:ascii="PMingLiU" w:cs="PMingLiU" w:eastAsia="PMingLiU" w:hAnsi="PMingLiU"/>
          <w:sz w:val="13"/>
          <w:szCs w:val="13"/>
          <w:color w:val="FFFFFF"/>
        </w:rPr>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ȒȵƺȸƏɎǣȒȇɀ</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ǣɎɀ</w:t>
      </w:r>
      <w:r>
        <w:rPr>
          <w:rFonts w:ascii="PMingLiU" w:cs="PMingLiU" w:eastAsia="PMingLiU" w:hAnsi="PMingLiU"/>
          <w:sz w:val="13"/>
          <w:szCs w:val="13"/>
          <w:color w:val="FFFFFF"/>
        </w:rPr>
        <w:t/>
      </w:r>
      <w:r>
        <w:rPr>
          <w:rFonts w:ascii="Arial" w:cs="Arial" w:eastAsia="Arial" w:hAnsi="Arial"/>
          <w:sz w:val="13"/>
          <w:szCs w:val="13"/>
          <w:color w:val="FFFFFF"/>
        </w:rPr>
        <w:t>ȅƏȇɖǔƏƬɎɖȸƺȸɀً</w:t>
      </w:r>
      <w:r>
        <w:rPr>
          <w:rFonts w:ascii="PMingLiU" w:cs="PMingLiU" w:eastAsia="PMingLiU" w:hAnsi="PMingLiU"/>
          <w:sz w:val="13"/>
          <w:szCs w:val="13"/>
          <w:color w:val="FFFFFF"/>
        </w:rPr>
        <w:t/>
      </w:r>
      <w:r>
        <w:rPr>
          <w:rFonts w:ascii="Arial" w:cs="Arial" w:eastAsia="Arial" w:hAnsi="Arial"/>
          <w:sz w:val="13"/>
          <w:szCs w:val="13"/>
          <w:color w:val="FFFFFF"/>
        </w:rPr>
        <w:t>ƬȒȇɎȸƏƬɎ</w:t>
      </w:r>
      <w:r>
        <w:rPr>
          <w:rFonts w:ascii="PMingLiU" w:cs="PMingLiU" w:eastAsia="PMingLiU" w:hAnsi="PMingLiU"/>
          <w:sz w:val="13"/>
          <w:szCs w:val="13"/>
          <w:color w:val="FFFFFF"/>
        </w:rPr>
        <w:t/>
      </w:r>
      <w:r>
        <w:rPr>
          <w:rFonts w:ascii="Arial" w:cs="Arial" w:eastAsia="Arial" w:hAnsi="Arial"/>
          <w:sz w:val="13"/>
          <w:szCs w:val="13"/>
          <w:color w:val="FFFFFF"/>
        </w:rPr>
        <w:t>ȸƺɀƺƏȸƬǝ</w:t>
      </w:r>
      <w:r>
        <w:rPr>
          <w:rFonts w:ascii="PMingLiU" w:cs="PMingLiU" w:eastAsia="PMingLiU" w:hAnsi="PMingLiU"/>
          <w:sz w:val="13"/>
          <w:szCs w:val="13"/>
          <w:color w:val="FFFFFF"/>
        </w:rPr>
        <w:t/>
      </w:r>
      <w:r>
        <w:rPr>
          <w:rFonts w:ascii="Arial" w:cs="Arial" w:eastAsia="Arial" w:hAnsi="Arial"/>
          <w:sz w:val="13"/>
          <w:szCs w:val="13"/>
          <w:color w:val="FFFFFF"/>
        </w:rPr>
        <w:t>ȒȸǕƏȇǣɿƏɎǣȒȇɀً</w:t>
      </w:r>
      <w:r>
        <w:rPr>
          <w:rFonts w:ascii="PMingLiU" w:cs="PMingLiU" w:eastAsia="PMingLiU" w:hAnsi="PMingLiU"/>
          <w:sz w:val="13"/>
          <w:szCs w:val="13"/>
          <w:color w:val="FFFFFF"/>
        </w:rPr>
        <w:t/>
      </w:r>
      <w:r>
        <w:rPr>
          <w:rFonts w:ascii="Arial" w:cs="Arial" w:eastAsia="Arial" w:hAnsi="Arial"/>
          <w:sz w:val="13"/>
          <w:szCs w:val="13"/>
          <w:color w:val="FFFFFF"/>
        </w:rPr>
        <w:t>Ȓȸ</w:t>
      </w:r>
      <w:r>
        <w:rPr>
          <w:rFonts w:ascii="PMingLiU" w:cs="PMingLiU" w:eastAsia="PMingLiU" w:hAnsi="PMingLiU"/>
          <w:sz w:val="13"/>
          <w:szCs w:val="13"/>
          <w:color w:val="FFFFFF"/>
        </w:rPr>
        <w:t/>
      </w:r>
      <w:r>
        <w:rPr>
          <w:rFonts w:ascii="Arial" w:cs="Arial" w:eastAsia="Arial" w:hAnsi="Arial"/>
          <w:sz w:val="13"/>
          <w:szCs w:val="13"/>
          <w:color w:val="FFFFFF"/>
        </w:rPr>
        <w:t xml:space="preserve"> ȒɎǝƺȸ</w:t>
      </w:r>
      <w:r>
        <w:rPr>
          <w:rFonts w:ascii="PMingLiU" w:cs="PMingLiU" w:eastAsia="PMingLiU" w:hAnsi="PMingLiU"/>
          <w:sz w:val="13"/>
          <w:szCs w:val="13"/>
          <w:color w:val="FFFFFF"/>
        </w:rPr>
        <w:t/>
      </w:r>
      <w:r>
        <w:rPr>
          <w:rFonts w:ascii="Arial" w:cs="Arial" w:eastAsia="Arial" w:hAnsi="Arial"/>
          <w:sz w:val="13"/>
          <w:szCs w:val="13"/>
          <w:color w:val="FFFFFF"/>
        </w:rPr>
        <w:t>ɎǝǣȸƳ</w:t>
      </w:r>
      <w:r>
        <w:rPr>
          <w:rFonts w:ascii="PMingLiU" w:cs="PMingLiU" w:eastAsia="PMingLiU" w:hAnsi="PMingLiU"/>
          <w:sz w:val="13"/>
          <w:szCs w:val="13"/>
          <w:color w:val="FFFFFF"/>
        </w:rPr>
        <w:t/>
      </w:r>
      <w:r>
        <w:rPr>
          <w:rFonts w:ascii="Arial" w:cs="Arial" w:eastAsia="Arial" w:hAnsi="Arial"/>
          <w:sz w:val="13"/>
          <w:szCs w:val="13"/>
          <w:color w:val="FFFFFF"/>
        </w:rPr>
        <w:t>ȵƏȸɎǣƺɀ</w:t>
      </w:r>
      <w:r>
        <w:rPr>
          <w:rFonts w:ascii="PMingLiU" w:cs="PMingLiU" w:eastAsia="PMingLiU" w:hAnsi="PMingLiU"/>
          <w:sz w:val="13"/>
          <w:szCs w:val="13"/>
          <w:color w:val="FFFFFF"/>
        </w:rPr>
        <w:t/>
      </w:r>
      <w:r>
        <w:rPr>
          <w:rFonts w:ascii="Arial" w:cs="Arial" w:eastAsia="Arial" w:hAnsi="Arial"/>
          <w:sz w:val="13"/>
          <w:szCs w:val="13"/>
          <w:color w:val="FFFFFF"/>
        </w:rPr>
        <w:t>ɯǣɎǝ</w:t>
      </w:r>
      <w:r>
        <w:rPr>
          <w:rFonts w:ascii="PMingLiU" w:cs="PMingLiU" w:eastAsia="PMingLiU" w:hAnsi="PMingLiU"/>
          <w:sz w:val="13"/>
          <w:szCs w:val="13"/>
          <w:color w:val="FFFFFF"/>
        </w:rPr>
        <w:t/>
      </w:r>
      <w:r>
        <w:rPr>
          <w:rFonts w:ascii="Arial" w:cs="Arial" w:eastAsia="Arial" w:hAnsi="Arial"/>
          <w:sz w:val="13"/>
          <w:szCs w:val="13"/>
          <w:color w:val="FFFFFF"/>
        </w:rPr>
        <w:t>ɯǝȒȅ</w:t>
      </w:r>
      <w:r>
        <w:rPr>
          <w:rFonts w:ascii="PMingLiU" w:cs="PMingLiU" w:eastAsia="PMingLiU" w:hAnsi="PMingLiU"/>
          <w:sz w:val="13"/>
          <w:szCs w:val="13"/>
          <w:color w:val="FFFFFF"/>
        </w:rPr>
        <w:t/>
      </w:r>
      <w:r>
        <w:rPr>
          <w:rFonts w:ascii="Arial" w:cs="Arial" w:eastAsia="Arial" w:hAnsi="Arial"/>
          <w:sz w:val="13"/>
          <w:szCs w:val="13"/>
          <w:color w:val="FFFFFF"/>
        </w:rPr>
        <w:t>kȒƳǣƏǸ</w:t>
      </w:r>
      <w:r>
        <w:rPr>
          <w:rFonts w:ascii="PMingLiU" w:cs="PMingLiU" w:eastAsia="PMingLiU" w:hAnsi="PMingLiU"/>
          <w:sz w:val="13"/>
          <w:szCs w:val="13"/>
          <w:color w:val="FFFFFF"/>
        </w:rPr>
        <w:t/>
      </w:r>
      <w:r>
        <w:rPr>
          <w:rFonts w:ascii="Arial" w:cs="Arial" w:eastAsia="Arial" w:hAnsi="Arial"/>
          <w:sz w:val="13"/>
          <w:szCs w:val="13"/>
          <w:color w:val="FFFFFF"/>
        </w:rPr>
        <w:t>ƬȒȇƳɖƬɎɀ</w:t>
      </w:r>
      <w:r>
        <w:rPr>
          <w:rFonts w:ascii="PMingLiU" w:cs="PMingLiU" w:eastAsia="PMingLiU" w:hAnsi="PMingLiU"/>
          <w:sz w:val="13"/>
          <w:szCs w:val="13"/>
          <w:color w:val="FFFFFF"/>
        </w:rPr>
        <w:t/>
      </w:r>
      <w:r>
        <w:rPr>
          <w:rFonts w:ascii="Arial" w:cs="Arial" w:eastAsia="Arial" w:hAnsi="Arial"/>
          <w:sz w:val="13"/>
          <w:szCs w:val="13"/>
          <w:color w:val="FFFFFF"/>
        </w:rPr>
        <w:t>ƫɖɀǣȇƺɀɀٕ</w:t>
      </w:r>
      <w:r>
        <w:rPr>
          <w:rFonts w:ascii="PMingLiU" w:cs="PMingLiU" w:eastAsia="PMingLiU" w:hAnsi="PMingLiU"/>
          <w:sz w:val="13"/>
          <w:szCs w:val="13"/>
          <w:color w:val="FFFFFF"/>
        </w:rPr>
        <w:t/>
      </w:r>
      <w:r>
        <w:rPr>
          <w:rFonts w:ascii="Arial" w:cs="Arial" w:eastAsia="Arial" w:hAnsi="Arial"/>
          <w:sz w:val="13"/>
          <w:szCs w:val="13"/>
          <w:color w:val="FFFFFF"/>
        </w:rPr>
        <w:t>Əɀ</w:t>
      </w:r>
      <w:r>
        <w:rPr>
          <w:rFonts w:ascii="PMingLiU" w:cs="PMingLiU" w:eastAsia="PMingLiU" w:hAnsi="PMingLiU"/>
          <w:sz w:val="13"/>
          <w:szCs w:val="13"/>
          <w:color w:val="FFFFFF"/>
        </w:rPr>
        <w:t/>
      </w:r>
      <w:r>
        <w:rPr>
          <w:rFonts w:ascii="Arial" w:cs="Arial" w:eastAsia="Arial" w:hAnsi="Arial"/>
          <w:sz w:val="13"/>
          <w:szCs w:val="13"/>
          <w:color w:val="FFFFFF"/>
        </w:rPr>
        <w:t>ɯƺǼǼ</w:t>
      </w:r>
      <w:r>
        <w:rPr>
          <w:rFonts w:ascii="PMingLiU" w:cs="PMingLiU" w:eastAsia="PMingLiU" w:hAnsi="PMingLiU"/>
          <w:sz w:val="13"/>
          <w:szCs w:val="13"/>
          <w:color w:val="FFFFFF"/>
        </w:rPr>
        <w:t/>
      </w:r>
      <w:r>
        <w:rPr>
          <w:rFonts w:ascii="Arial" w:cs="Arial" w:eastAsia="Arial" w:hAnsi="Arial"/>
          <w:sz w:val="13"/>
          <w:szCs w:val="13"/>
          <w:color w:val="FFFFFF"/>
        </w:rPr>
        <w:t>Əɀ</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ȒɎǝƺȸ</w:t>
      </w:r>
      <w:r>
        <w:rPr>
          <w:rFonts w:ascii="PMingLiU" w:cs="PMingLiU" w:eastAsia="PMingLiU" w:hAnsi="PMingLiU"/>
          <w:sz w:val="13"/>
          <w:szCs w:val="13"/>
          <w:color w:val="FFFFFF"/>
        </w:rPr>
        <w:t/>
      </w:r>
      <w:r>
        <w:rPr>
          <w:rFonts w:ascii="Arial" w:cs="Arial" w:eastAsia="Arial" w:hAnsi="Arial"/>
          <w:sz w:val="13"/>
          <w:szCs w:val="13"/>
          <w:color w:val="FFFFFF"/>
        </w:rPr>
        <w:t>ȸǣɀǸɀ</w:t>
      </w:r>
      <w:r>
        <w:rPr>
          <w:rFonts w:ascii="PMingLiU" w:cs="PMingLiU" w:eastAsia="PMingLiU" w:hAnsi="PMingLiU"/>
          <w:sz w:val="13"/>
          <w:szCs w:val="13"/>
          <w:color w:val="FFFFFF"/>
        </w:rPr>
        <w:t/>
      </w:r>
      <w:r>
        <w:rPr>
          <w:rFonts w:ascii="Arial" w:cs="Arial" w:eastAsia="Arial" w:hAnsi="Arial"/>
          <w:sz w:val="13"/>
          <w:szCs w:val="13"/>
          <w:color w:val="FFFFFF"/>
        </w:rPr>
        <w:t>ǣƳƺȇɎǣˡƺƳ</w:t>
      </w:r>
      <w:r>
        <w:rPr>
          <w:rFonts w:ascii="PMingLiU" w:cs="PMingLiU" w:eastAsia="PMingLiU" w:hAnsi="PMingLiU"/>
          <w:sz w:val="13"/>
          <w:szCs w:val="13"/>
          <w:color w:val="FFFFFF"/>
        </w:rPr>
        <w:t/>
      </w:r>
      <w:r>
        <w:rPr>
          <w:rFonts w:ascii="Arial" w:cs="Arial" w:eastAsia="Arial" w:hAnsi="Arial"/>
          <w:sz w:val="13"/>
          <w:szCs w:val="13"/>
          <w:color w:val="FFFFFF"/>
        </w:rPr>
        <w:t>ǣȇ</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ɀƺƬɎǣȒȇ</w:t>
      </w:r>
      <w:r>
        <w:rPr>
          <w:rFonts w:ascii="PMingLiU" w:cs="PMingLiU" w:eastAsia="PMingLiU" w:hAnsi="PMingLiU"/>
          <w:sz w:val="13"/>
          <w:szCs w:val="13"/>
          <w:color w:val="FFFFFF"/>
        </w:rPr>
        <w:t/>
      </w:r>
      <w:r>
        <w:rPr>
          <w:rFonts w:ascii="Arial" w:cs="Arial" w:eastAsia="Arial" w:hAnsi="Arial"/>
          <w:sz w:val="13"/>
          <w:szCs w:val="13"/>
          <w:color w:val="FFFFFF"/>
        </w:rPr>
        <w:t>ƺȇɎǣɎǼƺƳ</w:t>
      </w:r>
      <w:r>
        <w:rPr>
          <w:rFonts w:ascii="PMingLiU" w:cs="PMingLiU" w:eastAsia="PMingLiU" w:hAnsi="PMingLiU"/>
          <w:sz w:val="13"/>
          <w:szCs w:val="13"/>
          <w:color w:val="FFFFFF"/>
        </w:rPr>
        <w:t/>
      </w:r>
      <w:r>
        <w:rPr>
          <w:rFonts w:ascii="Arial" w:cs="Arial" w:eastAsia="Arial" w:hAnsi="Arial"/>
          <w:sz w:val="13"/>
          <w:szCs w:val="13"/>
          <w:color w:val="FFFFFF"/>
        </w:rPr>
        <w:t xml:space="preserve"> ٹ«ǣɀǸ</w:t>
      </w:r>
      <w:r>
        <w:rPr>
          <w:rFonts w:ascii="PMingLiU" w:cs="PMingLiU" w:eastAsia="PMingLiU" w:hAnsi="PMingLiU"/>
          <w:sz w:val="13"/>
          <w:szCs w:val="13"/>
          <w:color w:val="FFFFFF"/>
        </w:rPr>
        <w:t/>
      </w:r>
      <w:r>
        <w:rPr>
          <w:rFonts w:ascii="Arial" w:cs="Arial" w:eastAsia="Arial" w:hAnsi="Arial"/>
          <w:sz w:val="13"/>
          <w:szCs w:val="13"/>
          <w:color w:val="FFFFFF"/>
        </w:rPr>
        <w:t>IƏƬɎȒȸɀٺ</w:t>
      </w:r>
      <w:r>
        <w:rPr>
          <w:rFonts w:ascii="PMingLiU" w:cs="PMingLiU" w:eastAsia="PMingLiU" w:hAnsi="PMingLiU"/>
          <w:sz w:val="13"/>
          <w:szCs w:val="13"/>
          <w:color w:val="FFFFFF"/>
        </w:rPr>
        <w:t/>
      </w:r>
      <w:r>
        <w:rPr>
          <w:rFonts w:ascii="Arial" w:cs="Arial" w:eastAsia="Arial" w:hAnsi="Arial"/>
          <w:sz w:val="13"/>
          <w:szCs w:val="13"/>
          <w:color w:val="FFFFFF"/>
        </w:rPr>
        <w:t>ǣȇ</w:t>
      </w:r>
      <w:r>
        <w:rPr>
          <w:rFonts w:ascii="PMingLiU" w:cs="PMingLiU" w:eastAsia="PMingLiU" w:hAnsi="PMingLiU"/>
          <w:sz w:val="13"/>
          <w:szCs w:val="13"/>
          <w:color w:val="FFFFFF"/>
        </w:rPr>
        <w:t/>
      </w:r>
      <w:r>
        <w:rPr>
          <w:rFonts w:ascii="Arial" w:cs="Arial" w:eastAsia="Arial" w:hAnsi="Arial"/>
          <w:sz w:val="13"/>
          <w:szCs w:val="13"/>
          <w:color w:val="FFFFFF"/>
        </w:rPr>
        <w:t>kȒƳǣƏǸټɀ</w:t>
      </w:r>
      <w:r>
        <w:rPr>
          <w:rFonts w:ascii="PMingLiU" w:cs="PMingLiU" w:eastAsia="PMingLiU" w:hAnsi="PMingLiU"/>
          <w:sz w:val="13"/>
          <w:szCs w:val="13"/>
          <w:color w:val="FFFFFF"/>
        </w:rPr>
        <w:t/>
      </w:r>
      <w:r>
        <w:rPr>
          <w:rFonts w:ascii="Arial" w:cs="Arial" w:eastAsia="Arial" w:hAnsi="Arial"/>
          <w:sz w:val="13"/>
          <w:szCs w:val="13"/>
          <w:color w:val="FFFFFF"/>
        </w:rPr>
        <w:t>ȇȇɖƏǼ</w:t>
      </w:r>
      <w:r>
        <w:rPr>
          <w:rFonts w:ascii="PMingLiU" w:cs="PMingLiU" w:eastAsia="PMingLiU" w:hAnsi="PMingLiU"/>
          <w:sz w:val="13"/>
          <w:szCs w:val="13"/>
          <w:color w:val="FFFFFF"/>
        </w:rPr>
        <w:t/>
      </w:r>
      <w:r>
        <w:rPr>
          <w:rFonts w:ascii="Arial" w:cs="Arial" w:eastAsia="Arial" w:hAnsi="Arial"/>
          <w:sz w:val="13"/>
          <w:szCs w:val="13"/>
          <w:color w:val="FFFFFF"/>
        </w:rPr>
        <w:t>«ƺȵȒȸɎ</w:t>
      </w:r>
      <w:r>
        <w:rPr>
          <w:rFonts w:ascii="PMingLiU" w:cs="PMingLiU" w:eastAsia="PMingLiU" w:hAnsi="PMingLiU"/>
          <w:sz w:val="13"/>
          <w:szCs w:val="13"/>
          <w:color w:val="FFFFFF"/>
        </w:rPr>
        <w:t/>
      </w:r>
      <w:r>
        <w:rPr>
          <w:rFonts w:ascii="Arial" w:cs="Arial" w:eastAsia="Arial" w:hAnsi="Arial"/>
          <w:sz w:val="13"/>
          <w:szCs w:val="13"/>
          <w:color w:val="FFFFFF"/>
        </w:rPr>
        <w:t>Ȓȇ</w:t>
      </w:r>
      <w:r>
        <w:rPr>
          <w:rFonts w:ascii="PMingLiU" w:cs="PMingLiU" w:eastAsia="PMingLiU" w:hAnsi="PMingLiU"/>
          <w:sz w:val="13"/>
          <w:szCs w:val="13"/>
          <w:color w:val="FFFFFF"/>
        </w:rPr>
        <w:t/>
      </w:r>
      <w:r>
        <w:rPr>
          <w:rFonts w:ascii="Arial" w:cs="Arial" w:eastAsia="Arial" w:hAnsi="Arial"/>
          <w:sz w:val="13"/>
          <w:szCs w:val="13"/>
          <w:color w:val="FFFFFF"/>
        </w:rPr>
        <w:t>IȒȸȅ</w:t>
      </w:r>
      <w:r>
        <w:rPr>
          <w:rFonts w:ascii="PMingLiU" w:cs="PMingLiU" w:eastAsia="PMingLiU" w:hAnsi="PMingLiU"/>
          <w:sz w:val="13"/>
          <w:szCs w:val="13"/>
          <w:color w:val="FFFFFF"/>
        </w:rPr>
        <w:t xml:space="preserve">  </w:t>
      </w:r>
      <w:r>
        <w:rPr>
          <w:rFonts w:ascii="Arial" w:cs="Arial" w:eastAsia="Arial" w:hAnsi="Arial"/>
          <w:sz w:val="13"/>
          <w:szCs w:val="13"/>
          <w:color w:val="FFFFFF"/>
        </w:rPr>
        <w:t>ٮk</w:t>
      </w:r>
      <w:r>
        <w:rPr>
          <w:rFonts w:ascii="PMingLiU" w:cs="PMingLiU" w:eastAsia="PMingLiU" w:hAnsi="PMingLiU"/>
          <w:sz w:val="13"/>
          <w:szCs w:val="13"/>
          <w:color w:val="FFFFFF"/>
        </w:rPr>
        <w:t/>
      </w:r>
      <w:r>
        <w:rPr>
          <w:rFonts w:ascii="Arial" w:cs="Arial" w:eastAsia="Arial" w:hAnsi="Arial"/>
          <w:sz w:val="13"/>
          <w:szCs w:val="13"/>
          <w:color w:val="FFFFFF"/>
        </w:rPr>
        <w:t>ǔȒȸ</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ɵƺƏȸ</w:t>
      </w:r>
      <w:r>
        <w:rPr>
          <w:rFonts w:ascii="PMingLiU" w:cs="PMingLiU" w:eastAsia="PMingLiU" w:hAnsi="PMingLiU"/>
          <w:sz w:val="13"/>
          <w:szCs w:val="13"/>
          <w:color w:val="FFFFFF"/>
        </w:rPr>
        <w:t/>
      </w:r>
      <w:r>
        <w:rPr>
          <w:rFonts w:ascii="Arial" w:cs="Arial" w:eastAsia="Arial" w:hAnsi="Arial"/>
          <w:sz w:val="13"/>
          <w:szCs w:val="13"/>
          <w:color w:val="FFFFFF"/>
        </w:rPr>
        <w:t>ƺȇƳƺƳ</w:t>
      </w:r>
      <w:r>
        <w:rPr>
          <w:rFonts w:ascii="PMingLiU" w:cs="PMingLiU" w:eastAsia="PMingLiU" w:hAnsi="PMingLiU"/>
          <w:sz w:val="13"/>
          <w:szCs w:val="13"/>
          <w:color w:val="FFFFFF"/>
        </w:rPr>
        <w:t/>
      </w:r>
      <w:r>
        <w:rPr>
          <w:rFonts w:ascii="Arial" w:cs="Arial" w:eastAsia="Arial" w:hAnsi="Arial"/>
          <w:sz w:val="13"/>
          <w:szCs w:val="13"/>
          <w:color w:val="FFFFFF"/>
        </w:rPr>
        <w:t>(ƺƬƺȅƫƺȸ</w:t>
      </w:r>
      <w:r>
        <w:rPr>
          <w:rFonts w:ascii="PMingLiU" w:cs="PMingLiU" w:eastAsia="PMingLiU" w:hAnsi="PMingLiU"/>
          <w:sz w:val="13"/>
          <w:szCs w:val="13"/>
          <w:color w:val="FFFFFF"/>
        </w:rPr>
        <w:t/>
      </w:r>
      <w:r>
        <w:rPr>
          <w:rFonts w:ascii="Arial" w:cs="Arial" w:eastAsia="Arial" w:hAnsi="Arial"/>
          <w:sz w:val="13"/>
          <w:szCs w:val="13"/>
          <w:color w:val="FFFFFF"/>
        </w:rPr>
        <w:t>ב ً</w:t>
      </w:r>
      <w:r>
        <w:rPr>
          <w:rFonts w:ascii="PMingLiU" w:cs="PMingLiU" w:eastAsia="PMingLiU" w:hAnsi="PMingLiU"/>
          <w:sz w:val="13"/>
          <w:szCs w:val="13"/>
          <w:color w:val="FFFFFF"/>
        </w:rPr>
        <w:t/>
      </w:r>
      <w:r>
        <w:rPr>
          <w:rFonts w:ascii="Arial" w:cs="Arial" w:eastAsia="Arial" w:hAnsi="Arial"/>
          <w:sz w:val="13"/>
          <w:szCs w:val="13"/>
          <w:color w:val="FFFFFF"/>
        </w:rPr>
        <w:t>א אדً</w:t>
      </w:r>
      <w:r>
        <w:rPr>
          <w:rFonts w:ascii="PMingLiU" w:cs="PMingLiU" w:eastAsia="PMingLiU" w:hAnsi="PMingLiU"/>
          <w:sz w:val="13"/>
          <w:szCs w:val="13"/>
          <w:color w:val="FFFFFF"/>
        </w:rPr>
        <w:t/>
      </w:r>
      <w:r>
        <w:rPr>
          <w:rFonts w:ascii="Arial" w:cs="Arial" w:eastAsia="Arial" w:hAnsi="Arial"/>
          <w:sz w:val="13"/>
          <w:szCs w:val="13"/>
          <w:color w:val="FFFFFF"/>
        </w:rPr>
        <w:t>Əɀ</w:t>
      </w:r>
      <w:r>
        <w:rPr>
          <w:rFonts w:ascii="PMingLiU" w:cs="PMingLiU" w:eastAsia="PMingLiU" w:hAnsi="PMingLiU"/>
          <w:sz w:val="13"/>
          <w:szCs w:val="13"/>
          <w:color w:val="FFFFFF"/>
        </w:rPr>
        <w:t/>
      </w:r>
      <w:r>
        <w:rPr>
          <w:rFonts w:ascii="Arial" w:cs="Arial" w:eastAsia="Arial" w:hAnsi="Arial"/>
          <w:sz w:val="13"/>
          <w:szCs w:val="13"/>
          <w:color w:val="FFFFFF"/>
        </w:rPr>
        <w:t>ɯƺǼǼ</w:t>
      </w:r>
      <w:r>
        <w:rPr>
          <w:rFonts w:ascii="PMingLiU" w:cs="PMingLiU" w:eastAsia="PMingLiU" w:hAnsi="PMingLiU"/>
          <w:sz w:val="13"/>
          <w:szCs w:val="13"/>
          <w:color w:val="FFFFFF"/>
        </w:rPr>
        <w:t/>
      </w:r>
      <w:r>
        <w:rPr>
          <w:rFonts w:ascii="Arial" w:cs="Arial" w:eastAsia="Arial" w:hAnsi="Arial"/>
          <w:sz w:val="13"/>
          <w:szCs w:val="13"/>
          <w:color w:val="FFFFFF"/>
        </w:rPr>
        <w:t>Əɀ</w:t>
      </w:r>
      <w:r>
        <w:rPr>
          <w:rFonts w:ascii="PMingLiU" w:cs="PMingLiU" w:eastAsia="PMingLiU" w:hAnsi="PMingLiU"/>
          <w:sz w:val="13"/>
          <w:szCs w:val="13"/>
          <w:color w:val="FFFFFF"/>
        </w:rPr>
        <w:t/>
      </w:r>
      <w:r>
        <w:rPr>
          <w:rFonts w:ascii="Arial" w:cs="Arial" w:eastAsia="Arial" w:hAnsi="Arial"/>
          <w:sz w:val="13"/>
          <w:szCs w:val="13"/>
          <w:color w:val="FFFFFF"/>
        </w:rPr>
        <w:t>ƳǣɀƬɖɀɀǣȒȇɀ</w:t>
      </w:r>
      <w:r>
        <w:rPr>
          <w:rFonts w:ascii="PMingLiU" w:cs="PMingLiU" w:eastAsia="PMingLiU" w:hAnsi="PMingLiU"/>
          <w:sz w:val="13"/>
          <w:szCs w:val="13"/>
          <w:color w:val="FFFFFF"/>
        </w:rPr>
        <w:t/>
      </w:r>
      <w:r>
        <w:rPr>
          <w:rFonts w:ascii="Arial" w:cs="Arial" w:eastAsia="Arial" w:hAnsi="Arial"/>
          <w:sz w:val="13"/>
          <w:szCs w:val="13"/>
          <w:color w:val="FFFFFF"/>
        </w:rPr>
        <w:t xml:space="preserve"> Ȓǔ</w:t>
      </w:r>
      <w:r>
        <w:rPr>
          <w:rFonts w:ascii="PMingLiU" w:cs="PMingLiU" w:eastAsia="PMingLiU" w:hAnsi="PMingLiU"/>
          <w:sz w:val="13"/>
          <w:szCs w:val="13"/>
          <w:color w:val="FFFFFF"/>
        </w:rPr>
        <w:t/>
      </w:r>
      <w:r>
        <w:rPr>
          <w:rFonts w:ascii="Arial" w:cs="Arial" w:eastAsia="Arial" w:hAnsi="Arial"/>
          <w:sz w:val="13"/>
          <w:szCs w:val="13"/>
          <w:color w:val="FFFFFF"/>
        </w:rPr>
        <w:t>ȵȒɎƺȇɎǣƏǼ</w:t>
      </w:r>
      <w:r>
        <w:rPr>
          <w:rFonts w:ascii="PMingLiU" w:cs="PMingLiU" w:eastAsia="PMingLiU" w:hAnsi="PMingLiU"/>
          <w:sz w:val="13"/>
          <w:szCs w:val="13"/>
          <w:color w:val="FFFFFF"/>
        </w:rPr>
        <w:t/>
      </w:r>
      <w:r>
        <w:rPr>
          <w:rFonts w:ascii="Arial" w:cs="Arial" w:eastAsia="Arial" w:hAnsi="Arial"/>
          <w:sz w:val="13"/>
          <w:szCs w:val="13"/>
          <w:color w:val="FFFFFF"/>
        </w:rPr>
        <w:t>ȸǣɀǸɀً</w:t>
      </w:r>
      <w:r>
        <w:rPr>
          <w:rFonts w:ascii="PMingLiU" w:cs="PMingLiU" w:eastAsia="PMingLiU" w:hAnsi="PMingLiU"/>
          <w:sz w:val="13"/>
          <w:szCs w:val="13"/>
          <w:color w:val="FFFFFF"/>
        </w:rPr>
        <w:t/>
      </w:r>
      <w:r>
        <w:rPr>
          <w:rFonts w:ascii="Arial" w:cs="Arial" w:eastAsia="Arial" w:hAnsi="Arial"/>
          <w:sz w:val="13"/>
          <w:szCs w:val="13"/>
          <w:color w:val="FFFFFF"/>
        </w:rPr>
        <w:t>ɖȇƬƺȸɎƏǣȇɎǣƺɀً</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ȒɎǝƺȸ</w:t>
      </w:r>
      <w:r>
        <w:rPr>
          <w:rFonts w:ascii="PMingLiU" w:cs="PMingLiU" w:eastAsia="PMingLiU" w:hAnsi="PMingLiU"/>
          <w:sz w:val="13"/>
          <w:szCs w:val="13"/>
          <w:color w:val="FFFFFF"/>
        </w:rPr>
        <w:t/>
      </w:r>
      <w:r>
        <w:rPr>
          <w:rFonts w:ascii="Arial" w:cs="Arial" w:eastAsia="Arial" w:hAnsi="Arial"/>
          <w:sz w:val="13"/>
          <w:szCs w:val="13"/>
          <w:color w:val="FFFFFF"/>
        </w:rPr>
        <w:t>ǣȅȵȒȸɎƏȇɎ</w:t>
      </w:r>
      <w:r>
        <w:rPr>
          <w:rFonts w:ascii="PMingLiU" w:cs="PMingLiU" w:eastAsia="PMingLiU" w:hAnsi="PMingLiU"/>
          <w:sz w:val="13"/>
          <w:szCs w:val="13"/>
          <w:color w:val="FFFFFF"/>
        </w:rPr>
        <w:t/>
      </w:r>
      <w:r>
        <w:rPr>
          <w:rFonts w:ascii="Arial" w:cs="Arial" w:eastAsia="Arial" w:hAnsi="Arial"/>
          <w:sz w:val="13"/>
          <w:szCs w:val="13"/>
          <w:color w:val="FFFFFF"/>
        </w:rPr>
        <w:t>ǔƏƬɎȒȸɀ</w:t>
      </w:r>
      <w:r>
        <w:rPr>
          <w:rFonts w:ascii="PMingLiU" w:cs="PMingLiU" w:eastAsia="PMingLiU" w:hAnsi="PMingLiU"/>
          <w:sz w:val="13"/>
          <w:szCs w:val="13"/>
          <w:color w:val="FFFFFF"/>
        </w:rPr>
        <w:t/>
      </w:r>
      <w:r>
        <w:rPr>
          <w:rFonts w:ascii="Arial" w:cs="Arial" w:eastAsia="Arial" w:hAnsi="Arial"/>
          <w:sz w:val="13"/>
          <w:szCs w:val="13"/>
          <w:color w:val="FFFFFF"/>
        </w:rPr>
        <w:t>ǣȇ</w:t>
      </w:r>
      <w:r>
        <w:rPr>
          <w:rFonts w:ascii="PMingLiU" w:cs="PMingLiU" w:eastAsia="PMingLiU" w:hAnsi="PMingLiU"/>
          <w:sz w:val="13"/>
          <w:szCs w:val="13"/>
          <w:color w:val="FFFFFF"/>
        </w:rPr>
        <w:t/>
      </w:r>
      <w:r>
        <w:rPr>
          <w:rFonts w:ascii="Arial" w:cs="Arial" w:eastAsia="Arial" w:hAnsi="Arial"/>
          <w:sz w:val="13"/>
          <w:szCs w:val="13"/>
          <w:color w:val="FFFFFF"/>
        </w:rPr>
        <w:t>kȒƳǣƏǸټɀ</w:t>
      </w:r>
      <w:r>
        <w:rPr>
          <w:rFonts w:ascii="PMingLiU" w:cs="PMingLiU" w:eastAsia="PMingLiU" w:hAnsi="PMingLiU"/>
          <w:sz w:val="13"/>
          <w:szCs w:val="13"/>
          <w:color w:val="FFFFFF"/>
        </w:rPr>
        <w:t/>
      </w:r>
      <w:r>
        <w:rPr>
          <w:rFonts w:ascii="Arial" w:cs="Arial" w:eastAsia="Arial" w:hAnsi="Arial"/>
          <w:sz w:val="13"/>
          <w:szCs w:val="13"/>
          <w:color w:val="FFFFFF"/>
        </w:rPr>
        <w:t>ɀɖƫɀƺȷɖƺȇɎ</w:t>
      </w:r>
      <w:r>
        <w:rPr>
          <w:rFonts w:ascii="PMingLiU" w:cs="PMingLiU" w:eastAsia="PMingLiU" w:hAnsi="PMingLiU"/>
          <w:sz w:val="13"/>
          <w:szCs w:val="13"/>
          <w:color w:val="FFFFFF"/>
        </w:rPr>
        <w:t/>
      </w:r>
      <w:r>
        <w:rPr>
          <w:rFonts w:ascii="Arial" w:cs="Arial" w:eastAsia="Arial" w:hAnsi="Arial"/>
          <w:sz w:val="13"/>
          <w:szCs w:val="13"/>
          <w:color w:val="FFFFFF"/>
        </w:rPr>
        <w:t>ˡǼǣȇǕɀ</w:t>
      </w:r>
      <w:r>
        <w:rPr>
          <w:rFonts w:ascii="PMingLiU" w:cs="PMingLiU" w:eastAsia="PMingLiU" w:hAnsi="PMingLiU"/>
          <w:sz w:val="13"/>
          <w:szCs w:val="13"/>
          <w:color w:val="FFFFFF"/>
        </w:rPr>
        <w:t/>
      </w:r>
      <w:r>
        <w:rPr>
          <w:rFonts w:ascii="Arial" w:cs="Arial" w:eastAsia="Arial" w:hAnsi="Arial"/>
          <w:sz w:val="13"/>
          <w:szCs w:val="13"/>
          <w:color w:val="FFFFFF"/>
        </w:rPr>
        <w:t>ɯǣɎǝ</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³ƺƬɖȸǣɎǣƺɀ</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 xml:space="preserve"> 0ɴƬǝƏȇǕƺ</w:t>
      </w:r>
      <w:r>
        <w:rPr>
          <w:rFonts w:ascii="PMingLiU" w:cs="PMingLiU" w:eastAsia="PMingLiU" w:hAnsi="PMingLiU"/>
          <w:sz w:val="13"/>
          <w:szCs w:val="13"/>
          <w:color w:val="FFFFFF"/>
        </w:rPr>
        <w:t/>
      </w:r>
      <w:r>
        <w:rPr>
          <w:rFonts w:ascii="Arial" w:cs="Arial" w:eastAsia="Arial" w:hAnsi="Arial"/>
          <w:sz w:val="13"/>
          <w:szCs w:val="13"/>
          <w:color w:val="FFFFFF"/>
        </w:rPr>
        <w:t>!ȒȅȅǣɀɀǣȒȇِ</w:t>
      </w:r>
      <w:r>
        <w:rPr>
          <w:rFonts w:ascii="PMingLiU" w:cs="PMingLiU" w:eastAsia="PMingLiU" w:hAnsi="PMingLiU"/>
          <w:sz w:val="13"/>
          <w:szCs w:val="13"/>
          <w:color w:val="FFFFFF"/>
        </w:rPr>
        <w:t/>
      </w:r>
      <w:r>
        <w:rPr>
          <w:rFonts w:ascii="Arial" w:cs="Arial" w:eastAsia="Arial" w:hAnsi="Arial"/>
          <w:sz w:val="13"/>
          <w:szCs w:val="13"/>
          <w:color w:val="FFFFFF"/>
        </w:rPr>
        <w:t>Áǝƺɀƺ</w:t>
      </w:r>
      <w:r>
        <w:rPr>
          <w:rFonts w:ascii="PMingLiU" w:cs="PMingLiU" w:eastAsia="PMingLiU" w:hAnsi="PMingLiU"/>
          <w:sz w:val="13"/>
          <w:szCs w:val="13"/>
          <w:color w:val="FFFFFF"/>
        </w:rPr>
        <w:t/>
      </w:r>
      <w:r>
        <w:rPr>
          <w:rFonts w:ascii="Arial" w:cs="Arial" w:eastAsia="Arial" w:hAnsi="Arial"/>
          <w:sz w:val="13"/>
          <w:szCs w:val="13"/>
          <w:color w:val="FFFFFF"/>
        </w:rPr>
        <w:t>ǔȒȸɯƏȸƳٮǼȒȒǸǣȇǕ</w:t>
      </w:r>
      <w:r>
        <w:rPr>
          <w:rFonts w:ascii="PMingLiU" w:cs="PMingLiU" w:eastAsia="PMingLiU" w:hAnsi="PMingLiU"/>
          <w:sz w:val="13"/>
          <w:szCs w:val="13"/>
          <w:color w:val="FFFFFF"/>
        </w:rPr>
        <w:t/>
      </w:r>
      <w:r>
        <w:rPr>
          <w:rFonts w:ascii="Arial" w:cs="Arial" w:eastAsia="Arial" w:hAnsi="Arial"/>
          <w:sz w:val="13"/>
          <w:szCs w:val="13"/>
          <w:color w:val="FFFFFF"/>
        </w:rPr>
        <w:t>ɀɎƏɎƺȅƺȇɎɀ</w:t>
      </w:r>
      <w:r>
        <w:rPr>
          <w:rFonts w:ascii="PMingLiU" w:cs="PMingLiU" w:eastAsia="PMingLiU" w:hAnsi="PMingLiU"/>
          <w:sz w:val="13"/>
          <w:szCs w:val="13"/>
          <w:color w:val="FFFFFF"/>
        </w:rPr>
        <w:t/>
      </w:r>
      <w:r>
        <w:rPr>
          <w:rFonts w:ascii="Arial" w:cs="Arial" w:eastAsia="Arial" w:hAnsi="Arial"/>
          <w:sz w:val="13"/>
          <w:szCs w:val="13"/>
          <w:color w:val="FFFFFF"/>
        </w:rPr>
        <w:t>ɀȵƺƏǸ</w:t>
      </w:r>
      <w:r>
        <w:rPr>
          <w:rFonts w:ascii="PMingLiU" w:cs="PMingLiU" w:eastAsia="PMingLiU" w:hAnsi="PMingLiU"/>
          <w:sz w:val="13"/>
          <w:szCs w:val="13"/>
          <w:color w:val="FFFFFF"/>
        </w:rPr>
        <w:t/>
      </w:r>
      <w:r>
        <w:rPr>
          <w:rFonts w:ascii="Arial" w:cs="Arial" w:eastAsia="Arial" w:hAnsi="Arial"/>
          <w:sz w:val="13"/>
          <w:szCs w:val="13"/>
          <w:color w:val="FFFFFF"/>
        </w:rPr>
        <w:t>ȒȇǼɵ</w:t>
      </w:r>
      <w:r>
        <w:rPr>
          <w:rFonts w:ascii="PMingLiU" w:cs="PMingLiU" w:eastAsia="PMingLiU" w:hAnsi="PMingLiU"/>
          <w:sz w:val="13"/>
          <w:szCs w:val="13"/>
          <w:color w:val="FFFFFF"/>
        </w:rPr>
        <w:t/>
      </w:r>
      <w:r>
        <w:rPr>
          <w:rFonts w:ascii="Arial" w:cs="Arial" w:eastAsia="Arial" w:hAnsi="Arial"/>
          <w:sz w:val="13"/>
          <w:szCs w:val="13"/>
          <w:color w:val="FFFFFF"/>
        </w:rPr>
        <w:t>Əɀ</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Ɏǝƺ</w:t>
      </w:r>
      <w:r>
        <w:rPr>
          <w:rFonts w:ascii="PMingLiU" w:cs="PMingLiU" w:eastAsia="PMingLiU" w:hAnsi="PMingLiU"/>
          <w:sz w:val="13"/>
          <w:szCs w:val="13"/>
          <w:color w:val="FFFFFF"/>
        </w:rPr>
        <w:t/>
      </w:r>
      <w:r>
        <w:rPr>
          <w:rFonts w:ascii="Arial" w:cs="Arial" w:eastAsia="Arial" w:hAnsi="Arial"/>
          <w:sz w:val="13"/>
          <w:szCs w:val="13"/>
          <w:color w:val="FFFFFF"/>
        </w:rPr>
        <w:t>ƳƏɎƺ</w:t>
      </w:r>
      <w:r>
        <w:rPr>
          <w:rFonts w:ascii="PMingLiU" w:cs="PMingLiU" w:eastAsia="PMingLiU" w:hAnsi="PMingLiU"/>
          <w:sz w:val="13"/>
          <w:szCs w:val="13"/>
          <w:color w:val="FFFFFF"/>
        </w:rPr>
        <w:t/>
      </w:r>
      <w:r>
        <w:rPr>
          <w:rFonts w:ascii="Arial" w:cs="Arial" w:eastAsia="Arial" w:hAnsi="Arial"/>
          <w:sz w:val="13"/>
          <w:szCs w:val="13"/>
          <w:color w:val="FFFFFF"/>
        </w:rPr>
        <w:t>Ȓǔ</w:t>
      </w:r>
      <w:r>
        <w:rPr>
          <w:rFonts w:ascii="PMingLiU" w:cs="PMingLiU" w:eastAsia="PMingLiU" w:hAnsi="PMingLiU"/>
          <w:sz w:val="13"/>
          <w:szCs w:val="13"/>
          <w:color w:val="FFFFFF"/>
        </w:rPr>
        <w:t/>
      </w:r>
      <w:r>
        <w:rPr>
          <w:rFonts w:ascii="Arial" w:cs="Arial" w:eastAsia="Arial" w:hAnsi="Arial"/>
          <w:sz w:val="13"/>
          <w:szCs w:val="13"/>
          <w:color w:val="FFFFFF"/>
        </w:rPr>
        <w:t>Ɏǝǣɀ</w:t>
      </w:r>
      <w:r>
        <w:rPr>
          <w:rFonts w:ascii="PMingLiU" w:cs="PMingLiU" w:eastAsia="PMingLiU" w:hAnsi="PMingLiU"/>
          <w:sz w:val="13"/>
          <w:szCs w:val="13"/>
          <w:color w:val="FFFFFF"/>
        </w:rPr>
        <w:t/>
      </w:r>
      <w:r>
        <w:rPr>
          <w:rFonts w:ascii="Arial" w:cs="Arial" w:eastAsia="Arial" w:hAnsi="Arial"/>
          <w:sz w:val="13"/>
          <w:szCs w:val="13"/>
          <w:color w:val="FFFFFF"/>
        </w:rPr>
        <w:t>ƬȒȅȅɖȇǣƬƏɎǣȒȇً</w:t>
      </w:r>
      <w:r>
        <w:rPr>
          <w:rFonts w:ascii="PMingLiU" w:cs="PMingLiU" w:eastAsia="PMingLiU" w:hAnsi="PMingLiU"/>
          <w:sz w:val="13"/>
          <w:szCs w:val="13"/>
          <w:color w:val="FFFFFF"/>
        </w:rPr>
        <w:t/>
      </w:r>
      <w:r>
        <w:rPr>
          <w:rFonts w:ascii="Arial" w:cs="Arial" w:eastAsia="Arial" w:hAnsi="Arial"/>
          <w:sz w:val="13"/>
          <w:szCs w:val="13"/>
          <w:color w:val="FFFFFF"/>
        </w:rPr>
        <w:t>ƏȇƳ</w:t>
      </w:r>
      <w:r>
        <w:rPr>
          <w:rFonts w:ascii="PMingLiU" w:cs="PMingLiU" w:eastAsia="PMingLiU" w:hAnsi="PMingLiU"/>
          <w:sz w:val="13"/>
          <w:szCs w:val="13"/>
          <w:color w:val="FFFFFF"/>
        </w:rPr>
        <w:t/>
      </w:r>
      <w:r>
        <w:rPr>
          <w:rFonts w:ascii="Arial" w:cs="Arial" w:eastAsia="Arial" w:hAnsi="Arial"/>
          <w:sz w:val="13"/>
          <w:szCs w:val="13"/>
          <w:color w:val="FFFFFF"/>
        </w:rPr>
        <w:t xml:space="preserve"> </w:t>
      </w:r>
      <w:r>
        <w:rPr>
          <w:rFonts w:ascii="Arial" w:cs="Arial" w:eastAsia="Arial" w:hAnsi="Arial"/>
          <w:sz w:val="13"/>
          <w:szCs w:val="13"/>
          <w:color w:val="FFFFFF"/>
        </w:rPr>
        <w:t>Kodiak undertakes no obligation to update or revise any forward-looking statements, whether as a result of new information, future events, or otherwise. Readers are cautioned not to place undue reliance on such forward-looking statements.</w:t>
      </w:r>
    </w:p>
    <w:p>
      <w:pPr>
        <w:sectPr>
          <w:pgSz w:w="12240" w:h="15840" w:orient="portrait"/>
          <w:cols w:equalWidth="0" w:num="1">
            <w:col w:w="9440"/>
          </w:cols>
          <w:pgMar w:left="1360" w:top="99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KODIAK SCIENCES INC.</w:t>
      </w:r>
    </w:p>
    <w:p>
      <w:pPr>
        <w:sectPr>
          <w:pgSz w:w="12240" w:h="15840" w:orient="portrait"/>
          <w:cols w:equalWidth="0" w:num="1">
            <w:col w:w="9440"/>
          </w:cols>
          <w:pgMar w:left="1360" w:top="996" w:right="1440" w:bottom="0" w:gutter="0" w:footer="0" w:header="0"/>
          <w:type w:val="continuous"/>
        </w:sectPr>
      </w:pPr>
    </w:p>
    <w:bookmarkStart w:id="5" w:name="page6"/>
    <w:bookmarkEnd w:id="5"/>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761365</wp:posOffset>
                </wp:positionV>
                <wp:extent cx="6400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59.95pt" to="558pt,59.9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685800</wp:posOffset>
                </wp:positionH>
                <wp:positionV relativeFrom="page">
                  <wp:posOffset>780415</wp:posOffset>
                </wp:positionV>
                <wp:extent cx="6400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61.45pt" to="558pt,61.45pt" o:allowincell="f" strokecolor="#000000" strokeweight="0.75pt">
                <w10:wrap anchorx="page" anchory="page"/>
              </v:line>
            </w:pict>
          </mc:Fallback>
        </mc:AlternateContent>
        <w:t>UNITED STATES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-194310</wp:posOffset>
                </wp:positionV>
                <wp:extent cx="9144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5.2999pt" to="288pt,-15.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2743200</wp:posOffset>
                </wp:positionH>
                <wp:positionV relativeFrom="paragraph">
                  <wp:posOffset>98425</wp:posOffset>
                </wp:positionV>
                <wp:extent cx="9144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75pt" to="288pt,7.75pt" o:allowincell="f" strokecolor="#000000" strokeweight="0.5pt"/>
            </w:pict>
          </mc:Fallback>
        </mc:AlternateContent>
      </w:r>
    </w:p>
    <w:p>
      <w:pPr>
        <w:spacing w:after="0" w:line="372" w:lineRule="exact"/>
        <w:rPr>
          <w:sz w:val="20"/>
          <w:szCs w:val="20"/>
          <w:color w:val="auto"/>
        </w:rPr>
      </w:pPr>
    </w:p>
    <w:p>
      <w:pPr>
        <w:ind w:left="500" w:hanging="500"/>
        <w:spacing w:after="0"/>
        <w:tabs>
          <w:tab w:leader="none" w:pos="500" w:val="left"/>
        </w:tabs>
        <w:numPr>
          <w:ilvl w:val="0"/>
          <w:numId w:val="1"/>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9" w:lineRule="exact"/>
        <w:rPr>
          <w:sz w:val="20"/>
          <w:szCs w:val="20"/>
          <w:color w:val="auto"/>
        </w:rPr>
      </w:pPr>
    </w:p>
    <w:p>
      <w:pPr>
        <w:ind w:left="500" w:hanging="500"/>
        <w:spacing w:after="0"/>
        <w:tabs>
          <w:tab w:leader="none" w:pos="500" w:val="left"/>
        </w:tabs>
        <w:numPr>
          <w:ilvl w:val="0"/>
          <w:numId w:val="2"/>
        </w:numPr>
        <w:rPr>
          <w:rFonts w:ascii="Segoe UI" w:cs="Segoe UI" w:eastAsia="Segoe UI" w:hAnsi="Segoe UI"/>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4" w:lineRule="exact"/>
        <w:rPr>
          <w:rFonts w:ascii="Segoe UI" w:cs="Segoe UI" w:eastAsia="Segoe UI" w:hAnsi="Segoe UI"/>
          <w:sz w:val="17"/>
          <w:szCs w:val="17"/>
          <w:b w:val="1"/>
          <w:bCs w:val="1"/>
          <w:color w:val="auto"/>
        </w:rPr>
      </w:pPr>
    </w:p>
    <w:p>
      <w:pPr>
        <w:ind w:left="3200"/>
        <w:spacing w:after="0"/>
        <w:rPr>
          <w:rFonts w:ascii="Segoe UI" w:cs="Segoe UI" w:eastAsia="Segoe UI" w:hAnsi="Segoe UI"/>
          <w:sz w:val="17"/>
          <w:szCs w:val="17"/>
          <w:b w:val="1"/>
          <w:bCs w:val="1"/>
          <w:color w:val="auto"/>
        </w:rPr>
      </w:pPr>
      <w:r>
        <w:rPr>
          <w:rFonts w:ascii="Times New Roman" w:cs="Times New Roman" w:eastAsia="Times New Roman" w:hAnsi="Times New Roman"/>
          <w:sz w:val="16"/>
          <w:szCs w:val="16"/>
          <w:color w:val="auto"/>
        </w:rPr>
        <w:t>For the transition period from __________ to _________</w:t>
      </w:r>
    </w:p>
    <w:p>
      <w:pPr>
        <w:spacing w:after="0" w:line="6" w:lineRule="exact"/>
        <w:rPr>
          <w:rFonts w:ascii="Segoe UI" w:cs="Segoe UI" w:eastAsia="Segoe UI" w:hAnsi="Segoe UI"/>
          <w:sz w:val="17"/>
          <w:szCs w:val="17"/>
          <w:b w:val="1"/>
          <w:bCs w:val="1"/>
          <w:color w:val="auto"/>
        </w:rPr>
      </w:pPr>
    </w:p>
    <w:p>
      <w:pPr>
        <w:ind w:left="3820"/>
        <w:spacing w:after="0"/>
        <w:rPr>
          <w:rFonts w:ascii="Segoe UI" w:cs="Segoe UI" w:eastAsia="Segoe UI" w:hAnsi="Segoe UI"/>
          <w:sz w:val="17"/>
          <w:szCs w:val="17"/>
          <w:b w:val="1"/>
          <w:bCs w:val="1"/>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001-38682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KODIAK SCIENCES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-278130</wp:posOffset>
                </wp:positionV>
                <wp:extent cx="9144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1.8999pt" to="288pt,-21.8999pt" o:allowincell="f" strokecolor="#000000" strokeweight="0.5pt"/>
            </w:pict>
          </mc:Fallback>
        </mc:AlternateConten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86995</wp:posOffset>
                </wp:positionV>
                <wp:extent cx="9144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85pt" to="288pt,6.85pt" o:allowincell="f" strokecolor="#000000" strokeweight="0.5pt"/>
            </w:pict>
          </mc:Fallback>
        </mc:AlternateContent>
      </w:r>
    </w:p>
    <w:p>
      <w:pPr>
        <w:spacing w:after="0" w:line="25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4540" w:type="dxa"/>
            <w:vAlign w:val="bottom"/>
          </w:tcPr>
          <w:p>
            <w:pPr>
              <w:jc w:val="center"/>
              <w:ind w:right="110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40" w:type="dxa"/>
            <w:vAlign w:val="bottom"/>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27-0476525</w:t>
            </w:r>
          </w:p>
        </w:tc>
      </w:tr>
      <w:tr>
        <w:trPr>
          <w:trHeight w:val="178"/>
        </w:trPr>
        <w:tc>
          <w:tcPr>
            <w:tcW w:w="4540" w:type="dxa"/>
            <w:vAlign w:val="bottom"/>
          </w:tcPr>
          <w:p>
            <w:pPr>
              <w:jc w:val="center"/>
              <w:ind w:right="1104"/>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12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06"/>
        </w:trPr>
        <w:tc>
          <w:tcPr>
            <w:tcW w:w="4540" w:type="dxa"/>
            <w:vAlign w:val="bottom"/>
          </w:tcPr>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1250 Page Mill Road</w:t>
            </w:r>
          </w:p>
        </w:tc>
        <w:tc>
          <w:tcPr>
            <w:tcW w:w="3240" w:type="dxa"/>
            <w:vAlign w:val="bottom"/>
          </w:tcPr>
          <w:p>
            <w:pPr>
              <w:spacing w:after="0"/>
              <w:rPr>
                <w:sz w:val="17"/>
                <w:szCs w:val="17"/>
                <w:color w:val="auto"/>
              </w:rPr>
            </w:pPr>
          </w:p>
        </w:tc>
      </w:tr>
      <w:tr>
        <w:trPr>
          <w:trHeight w:val="228"/>
        </w:trPr>
        <w:tc>
          <w:tcPr>
            <w:tcW w:w="4540" w:type="dxa"/>
            <w:vAlign w:val="bottom"/>
          </w:tcPr>
          <w:p>
            <w:pPr>
              <w:jc w:val="center"/>
              <w:ind w:right="1124"/>
              <w:spacing w:after="0"/>
              <w:rPr>
                <w:sz w:val="20"/>
                <w:szCs w:val="20"/>
                <w:color w:val="auto"/>
              </w:rPr>
            </w:pPr>
            <w:r>
              <w:rPr>
                <w:rFonts w:ascii="Times New Roman" w:cs="Times New Roman" w:eastAsia="Times New Roman" w:hAnsi="Times New Roman"/>
                <w:sz w:val="16"/>
                <w:szCs w:val="16"/>
                <w:b w:val="1"/>
                <w:bCs w:val="1"/>
                <w:color w:val="auto"/>
                <w:w w:val="99"/>
              </w:rPr>
              <w:t>Palo Alto, CA</w:t>
            </w:r>
          </w:p>
        </w:tc>
        <w:tc>
          <w:tcPr>
            <w:tcW w:w="3240" w:type="dxa"/>
            <w:vAlign w:val="bottom"/>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rPr>
              <w:t>94304</w:t>
            </w:r>
          </w:p>
        </w:tc>
      </w:tr>
      <w:tr>
        <w:trPr>
          <w:trHeight w:val="187"/>
        </w:trPr>
        <w:tc>
          <w:tcPr>
            <w:tcW w:w="4540" w:type="dxa"/>
            <w:vAlign w:val="bottom"/>
          </w:tcPr>
          <w:p>
            <w:pPr>
              <w:jc w:val="center"/>
              <w:ind w:right="1124"/>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3240" w:type="dxa"/>
            <w:vAlign w:val="bottom"/>
          </w:tcPr>
          <w:p>
            <w:pPr>
              <w:jc w:val="center"/>
              <w:ind w:left="1145"/>
              <w:spacing w:after="0"/>
              <w:rPr>
                <w:sz w:val="20"/>
                <w:szCs w:val="20"/>
                <w:color w:val="auto"/>
              </w:rPr>
            </w:pPr>
            <w:r>
              <w:rPr>
                <w:rFonts w:ascii="Times New Roman" w:cs="Times New Roman" w:eastAsia="Times New Roman" w:hAnsi="Times New Roman"/>
                <w:sz w:val="14"/>
                <w:szCs w:val="14"/>
                <w:color w:val="auto"/>
              </w:rPr>
              <w:t>(Zip Code)</w:t>
            </w:r>
          </w:p>
        </w:tc>
      </w:tr>
    </w:tbl>
    <w:p>
      <w:pPr>
        <w:ind w:left="284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(650) 281-0850</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2240" w:h="15840" w:orient="portrait"/>
          <w:cols w:equalWidth="0" w:num="1">
            <w:col w:w="10080"/>
          </w:cols>
          <w:pgMar w:left="1080" w:top="1298" w:right="1080" w:bottom="1008" w:gutter="0" w:footer="0" w:header="0"/>
        </w:sectPr>
      </w:pPr>
    </w:p>
    <w:p>
      <w:pPr>
        <w:spacing w:after="0" w:line="7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Trading Symbol(s)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29" w:lineRule="exact"/>
        <w:rPr>
          <w:sz w:val="20"/>
          <w:szCs w:val="20"/>
          <w:color w:val="auto"/>
        </w:rPr>
      </w:pPr>
    </w:p>
    <w:p>
      <w:pPr>
        <w:sectPr>
          <w:pgSz w:w="12240" w:h="15840" w:orient="portrait"/>
          <w:cols w:equalWidth="0" w:num="3">
            <w:col w:w="3720" w:space="720"/>
            <w:col w:w="1480" w:space="720"/>
            <w:col w:w="3440"/>
          </w:cols>
          <w:pgMar w:left="1080" w:top="1298" w:right="1080" w:bottom="1008"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b w:val="1"/>
          <w:bCs w:val="1"/>
          <w:color w:val="auto"/>
        </w:rPr>
        <w:t>Common stock, par value $0.0001</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KOD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p>
      <w:pPr>
        <w:spacing w:after="0" w:line="15" w:lineRule="exact"/>
        <w:rPr>
          <w:sz w:val="20"/>
          <w:szCs w:val="20"/>
          <w:color w:val="auto"/>
        </w:rPr>
      </w:pPr>
    </w:p>
    <w:p>
      <w:pPr>
        <w:sectPr>
          <w:pgSz w:w="12240" w:h="15840" w:orient="portrait"/>
          <w:cols w:equalWidth="0" w:num="3">
            <w:col w:w="4140" w:space="720"/>
            <w:col w:w="1400" w:space="720"/>
            <w:col w:w="3100"/>
          </w:cols>
          <w:pgMar w:left="1080" w:top="1298" w:right="1080" w:bottom="1008"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95885</wp:posOffset>
                </wp:positionV>
                <wp:extent cx="9144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55pt" to="288pt,7.55pt" o:allowincell="f" strokecolor="#000000" strokeweight="0.5pt"/>
            </w:pict>
          </mc:Fallback>
        </mc:AlternateContent>
      </w:r>
    </w:p>
    <w:p>
      <w:pPr>
        <w:spacing w:after="0" w:line="138" w:lineRule="exact"/>
        <w:rPr>
          <w:sz w:val="20"/>
          <w:szCs w:val="20"/>
          <w:color w:val="auto"/>
        </w:rPr>
      </w:pPr>
    </w:p>
    <w:p>
      <w:pPr>
        <w:ind w:left="360" w:right="1180"/>
        <w:spacing w:after="0" w:line="271"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p>
      <w:pPr>
        <w:ind w:left="360"/>
        <w:spacing w:after="0" w:line="21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p>
      <w:pPr>
        <w:spacing w:after="0" w:line="1"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p>
    <w:p>
      <w:pPr>
        <w:ind w:right="60" w:firstLine="360"/>
        <w:spacing w:after="0" w:line="218"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p>
    <w:p>
      <w:pPr>
        <w:spacing w:after="0" w:line="24" w:lineRule="exact"/>
        <w:rPr>
          <w:sz w:val="20"/>
          <w:szCs w:val="20"/>
          <w:color w:val="auto"/>
        </w:rPr>
      </w:pPr>
    </w:p>
    <w:p>
      <w:pPr>
        <w:ind w:right="160" w:firstLine="360"/>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2"/>
        </w:trPr>
        <w:tc>
          <w:tcPr>
            <w:tcW w:w="19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500"/>
              <w:spacing w:after="0" w:line="181" w:lineRule="exact"/>
              <w:rPr>
                <w:sz w:val="20"/>
                <w:szCs w:val="20"/>
                <w:color w:val="auto"/>
              </w:rPr>
            </w:pPr>
            <w:r>
              <w:rPr>
                <w:rFonts w:ascii="Segoe UI" w:cs="Segoe UI" w:eastAsia="Segoe UI" w:hAnsi="Segoe UI"/>
                <w:sz w:val="16"/>
                <w:szCs w:val="16"/>
                <w:color w:val="auto"/>
              </w:rPr>
              <w:t>ն</w:t>
            </w:r>
          </w:p>
        </w:tc>
        <w:tc>
          <w:tcPr>
            <w:tcW w:w="4500" w:type="dxa"/>
            <w:vAlign w:val="bottom"/>
          </w:tcPr>
          <w:p>
            <w:pPr>
              <w:ind w:left="2440"/>
              <w:spacing w:after="0" w:line="181" w:lineRule="exact"/>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81" w:lineRule="exact"/>
              <w:rPr>
                <w:sz w:val="20"/>
                <w:szCs w:val="20"/>
                <w:color w:val="auto"/>
              </w:rPr>
            </w:pPr>
            <w:r>
              <w:rPr>
                <w:rFonts w:ascii="Segoe UI" w:cs="Segoe UI" w:eastAsia="Segoe UI" w:hAnsi="Segoe UI"/>
                <w:sz w:val="16"/>
                <w:szCs w:val="16"/>
                <w:color w:val="auto"/>
              </w:rPr>
              <w:t>ն</w:t>
            </w:r>
          </w:p>
        </w:tc>
      </w:t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500"/>
              <w:spacing w:after="0" w:line="192" w:lineRule="exact"/>
              <w:rPr>
                <w:sz w:val="20"/>
                <w:szCs w:val="20"/>
                <w:color w:val="auto"/>
              </w:rPr>
            </w:pPr>
            <w:r>
              <w:rPr>
                <w:rFonts w:ascii="Segoe UI" w:cs="Segoe UI" w:eastAsia="Segoe UI" w:hAnsi="Segoe UI"/>
                <w:sz w:val="16"/>
                <w:szCs w:val="16"/>
                <w:color w:val="auto"/>
              </w:rPr>
              <w:t>շ</w:t>
            </w:r>
          </w:p>
        </w:tc>
        <w:tc>
          <w:tcPr>
            <w:tcW w:w="45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92" w:lineRule="exact"/>
              <w:rPr>
                <w:sz w:val="20"/>
                <w:szCs w:val="20"/>
                <w:color w:val="auto"/>
              </w:rPr>
            </w:pPr>
            <w:r>
              <w:rPr>
                <w:rFonts w:ascii="Segoe UI" w:cs="Segoe UI" w:eastAsia="Segoe UI" w:hAnsi="Segoe UI"/>
                <w:sz w:val="16"/>
                <w:szCs w:val="16"/>
                <w:color w:val="auto"/>
              </w:rPr>
              <w:t>շ</w:t>
            </w:r>
          </w:p>
        </w:tc>
      </w:tr>
      <w:tr>
        <w:trPr>
          <w:trHeight w:val="256"/>
        </w:trPr>
        <w:tc>
          <w:tcPr>
            <w:tcW w:w="19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5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rPr>
                <w:sz w:val="20"/>
                <w:szCs w:val="20"/>
                <w:color w:val="auto"/>
              </w:rPr>
            </w:pPr>
            <w:r>
              <w:rPr>
                <w:rFonts w:ascii="Segoe UI" w:cs="Segoe UI" w:eastAsia="Segoe UI" w:hAnsi="Segoe UI"/>
                <w:sz w:val="16"/>
                <w:szCs w:val="16"/>
                <w:color w:val="auto"/>
              </w:rPr>
              <w:t>ն</w:t>
            </w:r>
          </w:p>
        </w:tc>
      </w:tr>
    </w:tbl>
    <w:p>
      <w:pPr>
        <w:jc w:val="both"/>
        <w:ind w:right="160" w:firstLine="360"/>
        <w:spacing w:after="0" w:line="23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ն</w:t>
      </w:r>
    </w:p>
    <w:p>
      <w:pPr>
        <w:ind w:right="140" w:firstLine="360"/>
        <w:spacing w:after="0" w:line="218"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or issued its audit report. </w:t>
      </w:r>
      <w:r>
        <w:rPr>
          <w:rFonts w:ascii="Segoe UI" w:cs="Segoe UI" w:eastAsia="Segoe UI" w:hAnsi="Segoe UI"/>
          <w:sz w:val="16"/>
          <w:szCs w:val="16"/>
          <w:color w:val="auto"/>
        </w:rPr>
        <w:t>ն</w:t>
      </w:r>
    </w:p>
    <w:p>
      <w:pPr>
        <w:spacing w:after="0" w:line="24"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ն</w:t>
      </w:r>
    </w:p>
    <w:p>
      <w:pPr>
        <w:ind w:right="400" w:firstLine="360"/>
        <w:spacing w:after="0" w:line="229"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Segoe UI" w:cs="Segoe UI" w:eastAsia="Segoe UI" w:hAnsi="Segoe UI"/>
          <w:sz w:val="16"/>
          <w:szCs w:val="16"/>
          <w:color w:val="auto"/>
        </w:rPr>
        <w:t>ն</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p>
      <w:pPr>
        <w:spacing w:after="0" w:line="24" w:lineRule="exact"/>
        <w:rPr>
          <w:sz w:val="20"/>
          <w:szCs w:val="20"/>
          <w:color w:val="auto"/>
        </w:rPr>
      </w:pPr>
    </w:p>
    <w:p>
      <w:pPr>
        <w:ind w:right="100" w:firstLine="360"/>
        <w:spacing w:after="0" w:line="218"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based on the closing price of a share of the registrant’s common stock on June 28, 2025, the last business day of the registrant’s most recently completed second fiscal quarter, as reported by the Nasdaq Global Market on such date, was approximately $121.6 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of March 19, 2026, the registrant had 61,847,870 shares of common stock, $0.0001 par value per share, outstanding.</w:t>
      </w:r>
    </w:p>
    <w:p>
      <w:pPr>
        <w:spacing w:after="0" w:line="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2026 Annual Meeting of Stockholders are incorporated herein by reference in Part</w:t>
      </w:r>
    </w:p>
    <w:p>
      <w:pPr>
        <w:ind w:right="160"/>
        <w:spacing w:after="0" w:line="229" w:lineRule="auto"/>
        <w:tabs>
          <w:tab w:leader="none" w:pos="2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this Annual Report on Form 10-K to the extent stated herein. The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85090</wp:posOffset>
                </wp:positionV>
                <wp:extent cx="6400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pt" to="504pt,6.7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104140</wp:posOffset>
                </wp:positionV>
                <wp:extent cx="6400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pt" to="504pt,8.2pt" o:allowincell="f" strokecolor="#000000" strokeweight="0.75pt"/>
            </w:pict>
          </mc:Fallback>
        </mc:AlternateContent>
      </w:r>
    </w:p>
    <w:p>
      <w:pPr>
        <w:sectPr>
          <w:pgSz w:w="12240" w:h="15840" w:orient="portrait"/>
          <w:cols w:equalWidth="0" w:num="1">
            <w:col w:w="10080"/>
          </w:cols>
          <w:pgMar w:left="1080" w:top="1298" w:right="1080" w:bottom="1008"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83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Special Note Regarding Forward-Looking Statements</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8340" w:type="dxa"/>
            <w:vAlign w:val="bottom"/>
            <w:vMerge w:val="continue"/>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ii</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19"/>
                <w:szCs w:val="19"/>
                <w:color w:val="auto"/>
              </w:rPr>
            </w:pPr>
          </w:p>
        </w:tc>
        <w:tc>
          <w:tcPr>
            <w:tcW w:w="8340" w:type="dxa"/>
            <w:vAlign w:val="bottom"/>
          </w:tcPr>
          <w:p>
            <w:pPr>
              <w:ind w:left="180"/>
              <w:spacing w:after="0" w:line="226" w:lineRule="exact"/>
              <w:rPr>
                <w:sz w:val="20"/>
                <w:szCs w:val="20"/>
                <w:color w:val="auto"/>
              </w:rPr>
            </w:pPr>
            <w:r>
              <w:rPr>
                <w:rFonts w:ascii="Times New Roman" w:cs="Times New Roman" w:eastAsia="Times New Roman" w:hAnsi="Times New Roman"/>
                <w:sz w:val="20"/>
                <w:szCs w:val="20"/>
                <w:color w:val="auto"/>
              </w:rPr>
              <w:t>Risk Factor Summary</w:t>
            </w:r>
          </w:p>
        </w:tc>
        <w:tc>
          <w:tcPr>
            <w:tcW w:w="84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rPr>
              <w:t>iv</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8340" w:type="dxa"/>
            <w:vAlign w:val="bottom"/>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Business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Risk Factors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Cybersecurity</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Legal Proceedings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0" w:type="dxa"/>
            <w:vAlign w:val="bottom"/>
          </w:tcPr>
          <w:p>
            <w:pPr>
              <w:spacing w:after="0"/>
              <w:rPr>
                <w:sz w:val="1"/>
                <w:szCs w:val="1"/>
                <w:color w:val="auto"/>
              </w:rPr>
            </w:pPr>
          </w:p>
        </w:tc>
      </w:tr>
      <w:tr>
        <w:trPr>
          <w:trHeight w:val="226"/>
        </w:trPr>
        <w:tc>
          <w:tcPr>
            <w:tcW w:w="9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Item 4.</w:t>
            </w:r>
          </w:p>
        </w:tc>
        <w:tc>
          <w:tcPr>
            <w:tcW w:w="8340" w:type="dxa"/>
            <w:vAlign w:val="bottom"/>
          </w:tcPr>
          <w:p>
            <w:pPr>
              <w:ind w:left="180"/>
              <w:spacing w:after="0" w:line="226" w:lineRule="exact"/>
              <w:rPr>
                <w:sz w:val="20"/>
                <w:szCs w:val="20"/>
                <w:color w:val="auto"/>
              </w:rPr>
            </w:pPr>
            <w:r>
              <w:rPr>
                <w:rFonts w:ascii="Times New Roman" w:cs="Times New Roman" w:eastAsia="Times New Roman" w:hAnsi="Times New Roman"/>
                <w:sz w:val="20"/>
                <w:szCs w:val="20"/>
                <w:color w:val="auto"/>
              </w:rPr>
              <w:t>Mine Safety Disclosures</w:t>
            </w:r>
          </w:p>
        </w:tc>
        <w:tc>
          <w:tcPr>
            <w:tcW w:w="84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65</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8340" w:type="dxa"/>
            <w:vAlign w:val="bottom"/>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Stockholders Matters and Issuer Purchases of</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900" w:type="dxa"/>
            <w:vAlign w:val="bottom"/>
            <w:vMerge w:val="continue"/>
          </w:tcPr>
          <w:p>
            <w:pPr>
              <w:spacing w:after="0"/>
              <w:rPr>
                <w:sz w:val="13"/>
                <w:szCs w:val="13"/>
                <w:color w:val="auto"/>
              </w:rPr>
            </w:pPr>
          </w:p>
        </w:tc>
        <w:tc>
          <w:tcPr>
            <w:tcW w:w="83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Equity Securities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0" w:type="dxa"/>
            <w:vAlign w:val="bottom"/>
          </w:tcPr>
          <w:p>
            <w:pPr>
              <w:spacing w:after="0"/>
              <w:rPr>
                <w:sz w:val="1"/>
                <w:szCs w:val="1"/>
                <w:color w:val="auto"/>
              </w:rPr>
            </w:pPr>
          </w:p>
        </w:tc>
      </w:tr>
      <w:tr>
        <w:trPr>
          <w:trHeight w:val="79"/>
        </w:trPr>
        <w:tc>
          <w:tcPr>
            <w:tcW w:w="900" w:type="dxa"/>
            <w:vAlign w:val="bottom"/>
          </w:tcPr>
          <w:p>
            <w:pPr>
              <w:spacing w:after="0"/>
              <w:rPr>
                <w:sz w:val="6"/>
                <w:szCs w:val="6"/>
                <w:color w:val="auto"/>
              </w:rPr>
            </w:pPr>
          </w:p>
        </w:tc>
        <w:tc>
          <w:tcPr>
            <w:tcW w:w="83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[Reserved]</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Controls and Procedures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Information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0" w:type="dxa"/>
            <w:vAlign w:val="bottom"/>
          </w:tcPr>
          <w:p>
            <w:pPr>
              <w:spacing w:after="0"/>
              <w:rPr>
                <w:sz w:val="1"/>
                <w:szCs w:val="1"/>
                <w:color w:val="auto"/>
              </w:rPr>
            </w:pPr>
          </w:p>
        </w:tc>
      </w:tr>
      <w:tr>
        <w:trPr>
          <w:trHeight w:val="226"/>
        </w:trPr>
        <w:tc>
          <w:tcPr>
            <w:tcW w:w="9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Item 9C.</w:t>
            </w:r>
          </w:p>
        </w:tc>
        <w:tc>
          <w:tcPr>
            <w:tcW w:w="8340" w:type="dxa"/>
            <w:vAlign w:val="bottom"/>
          </w:tcPr>
          <w:p>
            <w:pPr>
              <w:ind w:left="180"/>
              <w:spacing w:after="0" w:line="226" w:lineRule="exact"/>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84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100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8340" w:type="dxa"/>
            <w:vAlign w:val="bottom"/>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Executive Compensation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w:t>
            </w: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12.</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900" w:type="dxa"/>
            <w:vAlign w:val="bottom"/>
            <w:vMerge w:val="continue"/>
          </w:tcPr>
          <w:p>
            <w:pPr>
              <w:spacing w:after="0"/>
              <w:rPr>
                <w:sz w:val="13"/>
                <w:szCs w:val="13"/>
                <w:color w:val="auto"/>
              </w:rPr>
            </w:pPr>
          </w:p>
        </w:tc>
        <w:tc>
          <w:tcPr>
            <w:tcW w:w="83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Matters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101</w:t>
            </w:r>
          </w:p>
        </w:tc>
        <w:tc>
          <w:tcPr>
            <w:tcW w:w="0" w:type="dxa"/>
            <w:vAlign w:val="bottom"/>
          </w:tcPr>
          <w:p>
            <w:pPr>
              <w:spacing w:after="0"/>
              <w:rPr>
                <w:sz w:val="1"/>
                <w:szCs w:val="1"/>
                <w:color w:val="auto"/>
              </w:rPr>
            </w:pPr>
          </w:p>
        </w:tc>
      </w:tr>
      <w:tr>
        <w:trPr>
          <w:trHeight w:val="79"/>
        </w:trPr>
        <w:tc>
          <w:tcPr>
            <w:tcW w:w="900" w:type="dxa"/>
            <w:vAlign w:val="bottom"/>
          </w:tcPr>
          <w:p>
            <w:pPr>
              <w:spacing w:after="0"/>
              <w:rPr>
                <w:sz w:val="6"/>
                <w:szCs w:val="6"/>
                <w:color w:val="auto"/>
              </w:rPr>
            </w:pPr>
          </w:p>
        </w:tc>
        <w:tc>
          <w:tcPr>
            <w:tcW w:w="83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w:t>
            </w:r>
          </w:p>
        </w:tc>
        <w:tc>
          <w:tcPr>
            <w:tcW w:w="0" w:type="dxa"/>
            <w:vAlign w:val="bottom"/>
          </w:tcPr>
          <w:p>
            <w:pPr>
              <w:spacing w:after="0"/>
              <w:rPr>
                <w:sz w:val="1"/>
                <w:szCs w:val="1"/>
                <w:color w:val="auto"/>
              </w:rPr>
            </w:pPr>
          </w:p>
        </w:tc>
      </w:tr>
      <w:tr>
        <w:trPr>
          <w:trHeight w:val="226"/>
        </w:trPr>
        <w:tc>
          <w:tcPr>
            <w:tcW w:w="9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Item 14.</w:t>
            </w:r>
          </w:p>
        </w:tc>
        <w:tc>
          <w:tcPr>
            <w:tcW w:w="8340" w:type="dxa"/>
            <w:vAlign w:val="bottom"/>
          </w:tcPr>
          <w:p>
            <w:pPr>
              <w:ind w:left="180"/>
              <w:spacing w:after="0" w:line="226" w:lineRule="exact"/>
              <w:rPr>
                <w:sz w:val="20"/>
                <w:szCs w:val="20"/>
                <w:color w:val="auto"/>
              </w:rPr>
            </w:pPr>
            <w:r>
              <w:rPr>
                <w:rFonts w:ascii="Times New Roman" w:cs="Times New Roman" w:eastAsia="Times New Roman" w:hAnsi="Times New Roman"/>
                <w:sz w:val="20"/>
                <w:szCs w:val="20"/>
                <w:color w:val="auto"/>
              </w:rPr>
              <w:t>Principal Accountant Fees and Services</w:t>
            </w:r>
          </w:p>
        </w:tc>
        <w:tc>
          <w:tcPr>
            <w:tcW w:w="84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101</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8340" w:type="dxa"/>
            <w:vAlign w:val="bottom"/>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w w:val="97"/>
              </w:rPr>
              <w:t>PART IV</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10-K Summary</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8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Signatures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56" w:right="108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080"/>
          </w:cols>
          <w:pgMar w:left="1080" w:top="1056" w:right="1080" w:bottom="244"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06" w:lineRule="exact"/>
        <w:rPr>
          <w:sz w:val="20"/>
          <w:szCs w:val="20"/>
          <w:color w:val="auto"/>
        </w:rPr>
      </w:pPr>
    </w:p>
    <w:p>
      <w:pPr>
        <w:ind w:right="40" w:firstLine="490"/>
        <w:spacing w:after="0" w:line="232"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21E of the Securities Exchange Act of 1934, or Exchange Act. We have based these forward-looking statements largely on our current expectations about future events. Forward-looking statements are not guarantees of future performance or results. Forward-looking statements are based on information available at the time those statements are made and are subject to risks and uncertainties that could cause actual performance or results to differ materially from those in the forward-looking statements.</w:t>
      </w:r>
    </w:p>
    <w:p>
      <w:pPr>
        <w:spacing w:after="0" w:line="67" w:lineRule="exact"/>
        <w:rPr>
          <w:sz w:val="20"/>
          <w:szCs w:val="20"/>
          <w:color w:val="auto"/>
        </w:rPr>
      </w:pPr>
    </w:p>
    <w:p>
      <w:pPr>
        <w:ind w:firstLine="490"/>
        <w:spacing w:after="0" w:line="229" w:lineRule="auto"/>
        <w:rPr>
          <w:sz w:val="20"/>
          <w:szCs w:val="20"/>
          <w:color w:val="auto"/>
        </w:rPr>
      </w:pPr>
      <w:r>
        <w:rPr>
          <w:rFonts w:ascii="Times New Roman" w:cs="Times New Roman" w:eastAsia="Times New Roman" w:hAnsi="Times New Roman"/>
          <w:sz w:val="20"/>
          <w:szCs w:val="20"/>
          <w:color w:val="auto"/>
        </w:rPr>
        <w:t>Forward-looking statements include all statements that are not historical facts. In some cases, you can identify forward-looking statements by terms such as “may,” “might,” “will,” “objective,” “intend,” “should,” “could,” “can,” “would,” “expect,” “believe,” “intend,” “anticipate,” “project,” “target,” “design,” “estimate,” “predict,” “potential,” “plan”, “hope” or the negative of these terms, or similar expressions and comparable terminology intended to identify forward- looking statements. These statements reflect our current views and are based on assumptions and subject to risks and uncertainties, including those set forth in “Part I, Item 1A — Risk Factors.” Forward-looking statements include, but are not limited to, statements about:</w:t>
      </w:r>
    </w:p>
    <w:p>
      <w:pPr>
        <w:spacing w:after="0" w:line="96" w:lineRule="exact"/>
        <w:rPr>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cost and timing of our development activities, preclinical studies, clinical trials and regulatory filings;</w:t>
      </w:r>
    </w:p>
    <w:p>
      <w:pPr>
        <w:spacing w:after="0" w:line="133" w:lineRule="exact"/>
        <w:rPr>
          <w:rFonts w:ascii="Arial" w:cs="Arial" w:eastAsia="Arial" w:hAnsi="Arial"/>
          <w:sz w:val="20"/>
          <w:szCs w:val="20"/>
          <w:color w:val="auto"/>
        </w:rPr>
      </w:pPr>
    </w:p>
    <w:p>
      <w:pPr>
        <w:ind w:left="720" w:right="92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funding for our operations, including funding necessary to develop, manufacture and commercialize our product candidates;</w:t>
      </w:r>
    </w:p>
    <w:p>
      <w:pPr>
        <w:spacing w:after="0" w:line="64" w:lineRule="exact"/>
        <w:rPr>
          <w:rFonts w:ascii="Arial" w:cs="Arial" w:eastAsia="Arial" w:hAnsi="Arial"/>
          <w:sz w:val="20"/>
          <w:szCs w:val="20"/>
          <w:color w:val="auto"/>
        </w:rPr>
      </w:pPr>
    </w:p>
    <w:p>
      <w:pPr>
        <w:ind w:left="720" w:right="64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translation of our preclinical results and data and early clinical trial results in particular relating to safety, efficacy and durability into future clinical trials in humans;</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continued durability, efficacy and safety of our product candidates;</w:t>
      </w:r>
    </w:p>
    <w:p>
      <w:pPr>
        <w:spacing w:after="0" w:line="133" w:lineRule="exact"/>
        <w:rPr>
          <w:rFonts w:ascii="Arial" w:cs="Arial" w:eastAsia="Arial" w:hAnsi="Arial"/>
          <w:sz w:val="20"/>
          <w:szCs w:val="20"/>
          <w:color w:val="auto"/>
        </w:rPr>
      </w:pPr>
    </w:p>
    <w:p>
      <w:pPr>
        <w:ind w:left="720" w:right="6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progress each of our product candidates, including tarcocimab, KSI-501 and KSI-101, into later stages of development and towards a Biologics License Application, or BLA;</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results and costs of developing preclinical studies and clinical trials;</w:t>
      </w:r>
    </w:p>
    <w:p>
      <w:pPr>
        <w:spacing w:after="0" w:line="133" w:lineRule="exact"/>
        <w:rPr>
          <w:rFonts w:ascii="Arial" w:cs="Arial" w:eastAsia="Arial" w:hAnsi="Arial"/>
          <w:sz w:val="20"/>
          <w:szCs w:val="20"/>
          <w:color w:val="auto"/>
        </w:rPr>
      </w:pPr>
    </w:p>
    <w:p>
      <w:pPr>
        <w:ind w:left="720" w:right="80" w:hanging="360"/>
        <w:spacing w:after="0" w:line="252"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w:t>
      </w:r>
    </w:p>
    <w:p>
      <w:pPr>
        <w:spacing w:after="0" w:line="87"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and Lonza’s ability to successfully execute on our manufacturing development plan;</w:t>
      </w:r>
    </w:p>
    <w:p>
      <w:pPr>
        <w:spacing w:after="0" w:line="133" w:lineRule="exact"/>
        <w:rPr>
          <w:rFonts w:ascii="Arial" w:cs="Arial" w:eastAsia="Arial" w:hAnsi="Arial"/>
          <w:sz w:val="20"/>
          <w:szCs w:val="20"/>
          <w:color w:val="auto"/>
        </w:rPr>
      </w:pPr>
    </w:p>
    <w:p>
      <w:pPr>
        <w:ind w:left="720" w:right="120" w:hanging="360"/>
        <w:spacing w:after="0" w:line="258"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regarding chemistry manufacturing and controls, or CMC, requirements of the United States Food and Drug Administration, or FDA, and other regulatory bodies to support any BLA submission and potential commercial launch;</w:t>
      </w:r>
    </w:p>
    <w:p>
      <w:pPr>
        <w:spacing w:after="0" w:line="81" w:lineRule="exact"/>
        <w:rPr>
          <w:rFonts w:ascii="Arial" w:cs="Arial" w:eastAsia="Arial" w:hAnsi="Arial"/>
          <w:sz w:val="20"/>
          <w:szCs w:val="20"/>
          <w:color w:val="auto"/>
        </w:rPr>
      </w:pPr>
    </w:p>
    <w:p>
      <w:pPr>
        <w:ind w:left="720" w:right="38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regarding enhancements and benefits of new formulations of tarcocimab, KSI-501, KSI-101 or other Antibody Biopolymer Conjugate, or ABC, Platform derived molecules;</w:t>
      </w:r>
    </w:p>
    <w:p>
      <w:pPr>
        <w:spacing w:after="0" w:line="64" w:lineRule="exact"/>
        <w:rPr>
          <w:rFonts w:ascii="Arial" w:cs="Arial" w:eastAsia="Arial" w:hAnsi="Arial"/>
          <w:sz w:val="20"/>
          <w:szCs w:val="20"/>
          <w:color w:val="auto"/>
        </w:rPr>
      </w:pPr>
    </w:p>
    <w:p>
      <w:pPr>
        <w:ind w:left="720" w:right="12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or likelihood of regulatory filings and approvals and any related restrictions, limitations and/or warnings in the label of any approved product candidate;</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rate and degree of market acceptance of our product candidates;</w:t>
      </w:r>
    </w:p>
    <w:p>
      <w:pPr>
        <w:spacing w:after="0" w:line="133" w:lineRule="exact"/>
        <w:rPr>
          <w:rFonts w:ascii="Arial" w:cs="Arial" w:eastAsia="Arial" w:hAnsi="Arial"/>
          <w:sz w:val="20"/>
          <w:szCs w:val="20"/>
          <w:color w:val="auto"/>
        </w:rPr>
      </w:pPr>
    </w:p>
    <w:p>
      <w:pPr>
        <w:ind w:left="720" w:right="36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growth potential of the markets for our product candidates, if approved for commercial use, and our ability to serve those markets;</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pricing and reimbursement of our product candidates, if approved;</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competing products or platform technologies that are or may become available;</w:t>
      </w:r>
    </w:p>
    <w:p>
      <w:pPr>
        <w:spacing w:after="0" w:line="133" w:lineRule="exact"/>
        <w:rPr>
          <w:rFonts w:ascii="Arial" w:cs="Arial" w:eastAsia="Arial" w:hAnsi="Arial"/>
          <w:sz w:val="20"/>
          <w:szCs w:val="20"/>
          <w:color w:val="auto"/>
        </w:rPr>
      </w:pPr>
    </w:p>
    <w:p>
      <w:pPr>
        <w:ind w:left="720" w:right="52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and ability to establish sales, marketing and distribution infrastructure to commercialize any product candidates for which we obtain approval;</w:t>
      </w:r>
    </w:p>
    <w:p>
      <w:pPr>
        <w:spacing w:after="0" w:line="64" w:lineRule="exact"/>
        <w:rPr>
          <w:rFonts w:ascii="Arial" w:cs="Arial" w:eastAsia="Arial" w:hAnsi="Arial"/>
          <w:sz w:val="20"/>
          <w:szCs w:val="20"/>
          <w:color w:val="auto"/>
        </w:rPr>
      </w:pPr>
    </w:p>
    <w:p>
      <w:pPr>
        <w:ind w:left="720" w:right="46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 as to the concentration of retinal specialists in the United States and its impact on our sales and marketing plans;</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regarding commercialization of our product candidates;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contract with third-party suppliers and manufacturers and their ability to perform adequately;</w:t>
      </w:r>
    </w:p>
    <w:p>
      <w:pPr>
        <w:spacing w:after="0" w:line="133" w:lineRule="exact"/>
        <w:rPr>
          <w:rFonts w:ascii="Arial" w:cs="Arial" w:eastAsia="Arial" w:hAnsi="Arial"/>
          <w:sz w:val="20"/>
          <w:szCs w:val="20"/>
          <w:color w:val="auto"/>
        </w:rPr>
      </w:pPr>
    </w:p>
    <w:p>
      <w:pPr>
        <w:ind w:left="720" w:right="320" w:hanging="360"/>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covering our product candidates and technology;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060"/>
          </w:cols>
          <w:pgMar w:left="1080" w:top="1041" w:right="1100" w:bottom="175" w:gutter="0" w:footer="0" w:header="0"/>
        </w:sectPr>
      </w:pPr>
    </w:p>
    <w:bookmarkStart w:id="9" w:name="page10"/>
    <w:bookmarkEnd w:id="9"/>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claims relating to our intellectual property and third-party intellectual property;</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existing regulations and regulatory developments in the United States and foreign countries;</w:t>
      </w:r>
    </w:p>
    <w:p>
      <w:pPr>
        <w:spacing w:after="0" w:line="133" w:lineRule="exact"/>
        <w:rPr>
          <w:rFonts w:ascii="Arial" w:cs="Arial" w:eastAsia="Arial" w:hAnsi="Arial"/>
          <w:sz w:val="20"/>
          <w:szCs w:val="20"/>
          <w:color w:val="auto"/>
        </w:rPr>
      </w:pPr>
    </w:p>
    <w:p>
      <w:pPr>
        <w:ind w:left="720" w:right="60" w:hanging="360"/>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the unfavorable U.S. and global economic conditions on our business and operations, the business and operations of our collaborators, and on the global economy;</w:t>
      </w:r>
    </w:p>
    <w:p>
      <w:pPr>
        <w:spacing w:after="0" w:line="64" w:lineRule="exact"/>
        <w:rPr>
          <w:rFonts w:ascii="Arial" w:cs="Arial" w:eastAsia="Arial" w:hAnsi="Arial"/>
          <w:sz w:val="20"/>
          <w:szCs w:val="20"/>
          <w:color w:val="auto"/>
        </w:rPr>
      </w:pPr>
    </w:p>
    <w:p>
      <w:pPr>
        <w:ind w:left="720" w:right="520" w:hanging="360"/>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accuracy of our estimates regarding the sufficiency of our cash resources, expenses, future revenue, capital requirements and needs for additional financing, as well as, our ability to continue as a going concern;</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performance; and</w:t>
      </w:r>
    </w:p>
    <w:p>
      <w:pPr>
        <w:spacing w:after="0" w:line="133" w:lineRule="exact"/>
        <w:rPr>
          <w:rFonts w:ascii="Arial" w:cs="Arial" w:eastAsia="Arial" w:hAnsi="Arial"/>
          <w:sz w:val="20"/>
          <w:szCs w:val="20"/>
          <w:color w:val="auto"/>
        </w:rPr>
      </w:pPr>
    </w:p>
    <w:p>
      <w:pPr>
        <w:ind w:left="720" w:right="100" w:hanging="360"/>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aspirational goals and objectives related to our human capital resources and workforce objectives, including our ability to attract and retain key managerial, scientific and medical personnel.</w:t>
      </w:r>
    </w:p>
    <w:p>
      <w:pPr>
        <w:spacing w:after="0" w:line="5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Annual Report on Form 10-K titled “Part I, Item 1A — Risk Factors”.</w:t>
      </w:r>
    </w:p>
    <w:p>
      <w:pPr>
        <w:spacing w:after="0" w:line="8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82"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i w:val="1"/>
          <w:iCs w:val="1"/>
          <w:color w:val="auto"/>
        </w:rPr>
        <w:t>All brand names or trademarks appearing in this Annual Report are the property of their respective holders. Unless the context requires otherwise, references in this Annual Report to “Kodiak” the “Company,” “we,” “us” and “our” refer to Kodiak Sciences Inc. and its subsidiaries.</w:t>
      </w:r>
    </w:p>
    <w:p>
      <w:pPr>
        <w:spacing w:after="0" w:line="71" w:lineRule="exact"/>
        <w:rPr>
          <w:sz w:val="20"/>
          <w:szCs w:val="20"/>
          <w:color w:val="auto"/>
        </w:rPr>
      </w:pPr>
    </w:p>
    <w:p>
      <w:pPr>
        <w:ind w:right="300" w:firstLine="490"/>
        <w:spacing w:after="0" w:line="224" w:lineRule="auto"/>
        <w:rPr>
          <w:sz w:val="20"/>
          <w:szCs w:val="20"/>
          <w:color w:val="auto"/>
        </w:rPr>
      </w:pPr>
      <w:r>
        <w:rPr>
          <w:rFonts w:ascii="Times New Roman" w:cs="Times New Roman" w:eastAsia="Times New Roman" w:hAnsi="Times New Roman"/>
          <w:sz w:val="20"/>
          <w:szCs w:val="20"/>
          <w:i w:val="1"/>
          <w:iCs w:val="1"/>
          <w:color w:val="auto"/>
        </w:rPr>
        <w:t>Kodiak</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Kodiak Sciences</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ABC</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ABC Platform</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ABCD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Zenkuda</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VETi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xml:space="preserve"> and the Kodiak logo are registered trademarks or trademarks of Kodiak Sciences Inc. in various global jurisdictions.</w:t>
      </w:r>
    </w:p>
    <w:p>
      <w:pPr>
        <w:sectPr>
          <w:pgSz w:w="12240" w:h="15840" w:orient="portrait"/>
          <w:cols w:equalWidth="0" w:num="1">
            <w:col w:w="10080"/>
          </w:cols>
          <w:pgMar w:left="1080" w:top="1074" w:right="10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080"/>
          </w:cols>
          <w:pgMar w:left="1080" w:top="1074" w:right="1080" w:bottom="186" w:gutter="0" w:footer="0" w:header="0"/>
          <w:type w:val="continuous"/>
        </w:sectPr>
      </w:pPr>
    </w:p>
    <w:bookmarkStart w:id="10" w:name="page11"/>
    <w:bookmarkEnd w:id="10"/>
    <w:p>
      <w:pPr>
        <w:ind w:left="3060"/>
        <w:spacing w:after="0"/>
        <w:rPr>
          <w:sz w:val="20"/>
          <w:szCs w:val="20"/>
          <w:color w:val="auto"/>
        </w:rPr>
      </w:pPr>
      <w:r>
        <w:rPr>
          <w:rFonts w:ascii="Times New Roman" w:cs="Times New Roman" w:eastAsia="Times New Roman" w:hAnsi="Times New Roman"/>
          <w:sz w:val="20"/>
          <w:szCs w:val="20"/>
          <w:b w:val="1"/>
          <w:bCs w:val="1"/>
          <w:color w:val="auto"/>
        </w:rPr>
        <w:t>SELECTED RISKS AFFECTING OUR BUSINESS</w:t>
      </w:r>
    </w:p>
    <w:p>
      <w:pPr>
        <w:spacing w:after="0" w:line="124" w:lineRule="exact"/>
        <w:rPr>
          <w:sz w:val="20"/>
          <w:szCs w:val="20"/>
          <w:color w:val="auto"/>
        </w:rPr>
      </w:pPr>
    </w:p>
    <w:p>
      <w:pPr>
        <w:jc w:val="both"/>
        <w:ind w:right="420" w:firstLine="490"/>
        <w:spacing w:after="0" w:line="258" w:lineRule="auto"/>
        <w:rPr>
          <w:sz w:val="20"/>
          <w:szCs w:val="20"/>
          <w:color w:val="auto"/>
        </w:rPr>
      </w:pPr>
      <w:r>
        <w:rPr>
          <w:rFonts w:ascii="Times New Roman" w:cs="Times New Roman" w:eastAsia="Times New Roman" w:hAnsi="Times New Roman"/>
          <w:sz w:val="20"/>
          <w:szCs w:val="20"/>
          <w:color w:val="auto"/>
        </w:rPr>
        <w:t>Investing in our common stock involves numerous risks, including the risks described in “Part I, Item 1A — Risk Factors” of this Annual Report on Form 10-K, any one of which could materially adversely affect our business, financial condition, results of operations and prospects. These risks include, among others, the following:</w:t>
      </w:r>
    </w:p>
    <w:p>
      <w:pPr>
        <w:spacing w:after="0" w:line="83" w:lineRule="exact"/>
        <w:rPr>
          <w:sz w:val="20"/>
          <w:szCs w:val="20"/>
          <w:color w:val="auto"/>
        </w:rPr>
      </w:pPr>
    </w:p>
    <w:p>
      <w:pPr>
        <w:ind w:left="720" w:right="140" w:hanging="360"/>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in the clinical stage of drug development and have a limited operating history and no products approved for commercial sale, which may make it difficult to evaluate our current business and predict our future success and viability.</w:t>
      </w:r>
    </w:p>
    <w:p>
      <w:pPr>
        <w:spacing w:after="0" w:line="81" w:lineRule="exact"/>
        <w:rPr>
          <w:rFonts w:ascii="Arial" w:cs="Arial" w:eastAsia="Arial" w:hAnsi="Arial"/>
          <w:sz w:val="20"/>
          <w:szCs w:val="20"/>
          <w:color w:val="auto"/>
        </w:rPr>
      </w:pPr>
    </w:p>
    <w:p>
      <w:pPr>
        <w:ind w:left="720" w:right="360" w:hanging="360"/>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significant net losses in each period since our inception and anticipate that we will continue to incur significant and increasing net losses for the foreseeable future.</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condition raises substantial doubt about our ability to continue as a going concern.</w:t>
      </w:r>
    </w:p>
    <w:p>
      <w:pPr>
        <w:spacing w:after="0" w:line="133" w:lineRule="exact"/>
        <w:rPr>
          <w:rFonts w:ascii="Arial" w:cs="Arial" w:eastAsia="Arial" w:hAnsi="Arial"/>
          <w:sz w:val="20"/>
          <w:szCs w:val="20"/>
          <w:color w:val="auto"/>
        </w:rPr>
      </w:pPr>
    </w:p>
    <w:p>
      <w:pPr>
        <w:ind w:left="720" w:right="900" w:hanging="360"/>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obtain additional financing, we may be unable to complete the development and, if approved, commercialization of our product candidates.</w:t>
      </w:r>
    </w:p>
    <w:p>
      <w:pPr>
        <w:spacing w:after="0" w:line="64" w:lineRule="exact"/>
        <w:rPr>
          <w:rFonts w:ascii="Arial" w:cs="Arial" w:eastAsia="Arial" w:hAnsi="Arial"/>
          <w:sz w:val="20"/>
          <w:szCs w:val="20"/>
          <w:color w:val="auto"/>
        </w:rPr>
      </w:pPr>
    </w:p>
    <w:p>
      <w:pPr>
        <w:ind w:left="720" w:right="620" w:hanging="360"/>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Drug development is a highly uncertain undertaking and involves a substantial degree of risk. We have never generated any revenue from product sales, and we may never generate revenue or be profitable.</w:t>
      </w:r>
    </w:p>
    <w:p>
      <w:pPr>
        <w:spacing w:after="0" w:line="64" w:lineRule="exact"/>
        <w:rPr>
          <w:rFonts w:ascii="Arial" w:cs="Arial" w:eastAsia="Arial" w:hAnsi="Arial"/>
          <w:sz w:val="20"/>
          <w:szCs w:val="20"/>
          <w:color w:val="auto"/>
        </w:rPr>
      </w:pPr>
    </w:p>
    <w:p>
      <w:pPr>
        <w:jc w:val="both"/>
        <w:ind w:left="720" w:right="540" w:hanging="360"/>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prospects are heavily dependent on our ability to successfully develop, obtain regulatory approval for and successfully commercialize tarcocimab, KSI-501 and KSI-101, our product candidates, which are currently in clinical development for multiple indications.</w:t>
      </w:r>
    </w:p>
    <w:p>
      <w:pPr>
        <w:spacing w:after="0" w:line="81" w:lineRule="exact"/>
        <w:rPr>
          <w:rFonts w:ascii="Arial" w:cs="Arial" w:eastAsia="Arial" w:hAnsi="Arial"/>
          <w:sz w:val="20"/>
          <w:szCs w:val="20"/>
          <w:color w:val="auto"/>
        </w:rPr>
      </w:pPr>
    </w:p>
    <w:p>
      <w:pPr>
        <w:ind w:left="720" w:right="200" w:hanging="360"/>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failure of pivotal studies to meet their primary efficacy endpoints may lead us to pause, change or discontinue development of other product candidates based on our ABC Platform.</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for the development of tarcocimab, KSI-501 or KSI-101 may be unsuccessful.</w:t>
      </w:r>
    </w:p>
    <w:p>
      <w:pPr>
        <w:spacing w:after="0" w:line="133" w:lineRule="exact"/>
        <w:rPr>
          <w:rFonts w:ascii="Arial" w:cs="Arial" w:eastAsia="Arial" w:hAnsi="Arial"/>
          <w:sz w:val="20"/>
          <w:szCs w:val="20"/>
          <w:color w:val="auto"/>
        </w:rPr>
      </w:pPr>
    </w:p>
    <w:p>
      <w:pPr>
        <w:jc w:val="both"/>
        <w:ind w:left="720" w:right="20" w:hanging="360"/>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81" w:lineRule="exact"/>
        <w:rPr>
          <w:rFonts w:ascii="Arial" w:cs="Arial" w:eastAsia="Arial" w:hAnsi="Arial"/>
          <w:sz w:val="20"/>
          <w:szCs w:val="20"/>
          <w:color w:val="auto"/>
        </w:rPr>
      </w:pPr>
    </w:p>
    <w:p>
      <w:pPr>
        <w:ind w:left="720" w:right="240" w:hanging="360"/>
        <w:spacing w:after="0" w:line="252"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87" w:lineRule="exact"/>
        <w:rPr>
          <w:rFonts w:ascii="Arial" w:cs="Arial" w:eastAsia="Arial" w:hAnsi="Arial"/>
          <w:sz w:val="20"/>
          <w:szCs w:val="20"/>
          <w:color w:val="auto"/>
        </w:rPr>
      </w:pPr>
    </w:p>
    <w:p>
      <w:pPr>
        <w:ind w:left="720" w:right="380" w:hanging="360"/>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encounter substantial delays in our clinical trials or may not be able to conduct or complete our clinical trials on the timelines we expect, if at all.</w:t>
      </w:r>
    </w:p>
    <w:p>
      <w:pPr>
        <w:spacing w:after="0" w:line="64" w:lineRule="exact"/>
        <w:rPr>
          <w:rFonts w:ascii="Arial" w:cs="Arial" w:eastAsia="Arial" w:hAnsi="Arial"/>
          <w:sz w:val="20"/>
          <w:szCs w:val="20"/>
          <w:color w:val="auto"/>
        </w:rPr>
      </w:pPr>
    </w:p>
    <w:p>
      <w:pPr>
        <w:ind w:left="720" w:right="200" w:hanging="360"/>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64" w:lineRule="exact"/>
        <w:rPr>
          <w:rFonts w:ascii="Arial" w:cs="Arial" w:eastAsia="Arial" w:hAnsi="Arial"/>
          <w:sz w:val="20"/>
          <w:szCs w:val="20"/>
          <w:color w:val="auto"/>
        </w:rPr>
      </w:pPr>
    </w:p>
    <w:p>
      <w:pPr>
        <w:ind w:left="720" w:right="200" w:hanging="360"/>
        <w:spacing w:after="0" w:line="24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90" w:lineRule="exact"/>
        <w:rPr>
          <w:rFonts w:ascii="Arial" w:cs="Arial" w:eastAsia="Arial" w:hAnsi="Arial"/>
          <w:sz w:val="20"/>
          <w:szCs w:val="20"/>
          <w:color w:val="auto"/>
        </w:rPr>
      </w:pPr>
    </w:p>
    <w:p>
      <w:pPr>
        <w:ind w:left="720" w:right="160" w:hanging="360"/>
        <w:spacing w:after="0" w:line="252"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approval processes of the FDA, European Medicines Agency, or EMA, and comparable foreign regulatory authorities are lengthy, time consuming, expensive and inherently unpredictable. If we are ultimately unable to obtain regulatory approval for our product candidates, we will be unable to generate product revenue and our business will be substantially harmed.</w:t>
      </w:r>
    </w:p>
    <w:p>
      <w:pPr>
        <w:spacing w:after="0" w:line="87" w:lineRule="exact"/>
        <w:rPr>
          <w:rFonts w:ascii="Arial" w:cs="Arial" w:eastAsia="Arial" w:hAnsi="Arial"/>
          <w:sz w:val="20"/>
          <w:szCs w:val="20"/>
          <w:color w:val="auto"/>
        </w:rPr>
      </w:pPr>
    </w:p>
    <w:p>
      <w:pPr>
        <w:ind w:left="720" w:right="20" w:hanging="360"/>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81" w:lineRule="exact"/>
        <w:rPr>
          <w:rFonts w:ascii="Arial" w:cs="Arial" w:eastAsia="Arial" w:hAnsi="Arial"/>
          <w:sz w:val="20"/>
          <w:szCs w:val="20"/>
          <w:color w:val="auto"/>
        </w:rPr>
      </w:pPr>
    </w:p>
    <w:p>
      <w:pPr>
        <w:ind w:left="720" w:hanging="360"/>
        <w:spacing w:after="0" w:line="24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10080"/>
          </w:cols>
          <w:pgMar w:left="1080" w:top="1056" w:right="1080" w:bottom="175" w:gutter="0" w:footer="0" w:header="0"/>
          <w:type w:val="continuous"/>
        </w:sectPr>
      </w:pPr>
    </w:p>
    <w:bookmarkStart w:id="11" w:name="page12"/>
    <w:bookmarkEnd w:id="11"/>
    <w:p>
      <w:pPr>
        <w:ind w:left="360" w:hanging="360"/>
        <w:spacing w:after="0" w:line="252"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87" w:lineRule="exact"/>
        <w:rPr>
          <w:rFonts w:ascii="Arial" w:cs="Arial" w:eastAsia="Arial" w:hAnsi="Arial"/>
          <w:sz w:val="20"/>
          <w:szCs w:val="20"/>
          <w:color w:val="auto"/>
        </w:rPr>
      </w:pPr>
    </w:p>
    <w:p>
      <w:pPr>
        <w:ind w:left="360" w:right="120" w:hanging="360"/>
        <w:spacing w:after="0" w:line="276"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are highly dependent on our key personnel, and if we are not successful in attracting, motivating and retaining highly qualified personnel, we may not be able to successfully implement our business strategy.</w:t>
      </w:r>
    </w:p>
    <w:p>
      <w:pPr>
        <w:sectPr>
          <w:pgSz w:w="12240" w:h="15840" w:orient="portrait"/>
          <w:cols w:equalWidth="0" w:num="1">
            <w:col w:w="9620"/>
          </w:cols>
          <w:pgMar w:left="1440" w:top="1074"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v</w:t>
      </w:r>
    </w:p>
    <w:p>
      <w:pPr>
        <w:sectPr>
          <w:pgSz w:w="12240" w:h="15840" w:orient="portrait"/>
          <w:cols w:equalWidth="0" w:num="1">
            <w:col w:w="9620"/>
          </w:cols>
          <w:pgMar w:left="1440" w:top="1074" w:right="1180" w:bottom="175"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Since its founding in 2009, Kodiak Sciences Inc. (“Kodiak,” the “Company,” “we” or “our”) has developed a new technology platform, the Antibody Biopolymer Conjugate (“ABC”) platform, for retinal medicines. Our goal is to prevent and treat the major causes of blindness by developing and commercializing next-generation therapeutics to address multiple unmet needs on the spectrum of retinal diseases.</w:t>
      </w:r>
    </w:p>
    <w:p>
      <w:pPr>
        <w:spacing w:after="0" w:line="7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Kodiak has developed three late-stage clinical programs based on its internal discovery and development engine. The lead investigational medicine, tarcocimab tedromer (“Zenkuda” or “KSI-301” or “tarcocimab”), is an anti-VEGF therapy built on Kodiak's proprietary ABC platform. Zenkuda has a mean ocular half-life in humans of 20 days, approximately three times longer than approved anti-vascular endothelial growth factor ("VEGF") therapies, and is designed to maintain effective drug levels in ocular tissues for longer.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w:t>
      </w:r>
    </w:p>
    <w:p>
      <w:pPr>
        <w:spacing w:after="0" w:line="8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Zenkuda has completed four successful Phase 3 pivotal studies: the Phase 3 GLOW1 and GLOW2 studies in diabetic retinopathy ("DR"), the Phase 3 BEACON study in retinal vein occlusion ("RVO"), and the Phase 3 DAYLIGHT study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In the DAYLIGHT study, Zenkuda demonstrated non-inferior efficacy results and compelling safety and tolerability at a once-monthly dosing interval. Zenkuda is currently being studied in the Phase 3 DAYBREAK study in wet AMD, the final anticipated Phase 3 study in the program. In DAYBREAK, patients are treated on an every 1-month through every 6-month treatment interval, depending on an AI-driven assessment of disease activity. DAYBREAK has completed enrollment. DAYBREAK uses Zenkuda’s enhanced commercial 50 mg/mL formulation containing both conjugated and unconjugated antibody that is intended to balance immediacy and durability. Topline results for the DAYBREAK one-year primary endpoint are expected in 3Q 2026.</w:t>
      </w:r>
    </w:p>
    <w:p>
      <w:pPr>
        <w:spacing w:after="0" w:line="9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Kodiak’s second investigational medicine, KSI-501, is an anti-interleukin 6, or IL-6, VEGF-trap bispecific therapy built on the ABC platform and is being developed for high prevalence retinal vascular diseases and intended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 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best corrected visual acuity (“BCVA”) outcomes over time in wet AMD patients treated with anti-VEGF monotherapy, which may indicate that IL-6 inhibition in combination with anti-VEGF therapy could lead to improved outcomes. Kodiak has advanced KSI-501 into the Phase 3 study DAYBREAK to evaluate its efficacy and safety in wet AMD. DAYBREAK has completed enrollment. DAYBREAK uses KSI-501's enhanced 50 mg/mL formulation containing both conjugated and unconjugated antibody that is intended to balance immediacy and durability. Topline results for the DAYBREAK one-year primary endpoint are expected in 3Q 2026.</w:t>
      </w:r>
    </w:p>
    <w:p>
      <w:pPr>
        <w:spacing w:after="0" w:line="83" w:lineRule="exact"/>
        <w:rPr>
          <w:sz w:val="20"/>
          <w:szCs w:val="20"/>
          <w:color w:val="auto"/>
        </w:rPr>
      </w:pPr>
    </w:p>
    <w:p>
      <w:pPr>
        <w:ind w:right="160" w:firstLine="490"/>
        <w:spacing w:after="0" w:line="254" w:lineRule="auto"/>
        <w:rPr>
          <w:sz w:val="20"/>
          <w:szCs w:val="20"/>
          <w:color w:val="auto"/>
        </w:rPr>
      </w:pPr>
      <w:r>
        <w:rPr>
          <w:rFonts w:ascii="Times New Roman" w:cs="Times New Roman" w:eastAsia="Times New Roman" w:hAnsi="Times New Roman"/>
          <w:sz w:val="20"/>
          <w:szCs w:val="20"/>
          <w:color w:val="auto"/>
        </w:rPr>
        <w:t>Kodiak’s third investigational medicine, KSI-101, is a high strength (100 mg/mL) bispecific protein targeting IL-6 and VEGF. We are developing KSI-101 for patients with macular edema (retinal fluid) secondary to inflammation</w:t>
      </w:r>
    </w:p>
    <w:p>
      <w:pPr>
        <w:spacing w:after="0" w:line="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("MESI"). MESI is a heterogenous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 Currently there are no available intravitreal biologic therapies addressing the spectrum of MESI diseases. We believe that MESI represents a new market segment separate from the established anti-VEGF market. Our completed dose- finding Phase 1b study APEX evaluated KSI-101 in two cohorts, Cohort 1 in patients with diabetic macular edema ("DME") and Cohort 2 in patients with MESI. APEX indicated that KSI-101 provided meaningful visual and anatomical gains in both DME and MESI and that KSI-101 was well tolerated. Meaningful treatment responses were seen in the MESI population, irrespective of the location of inflammation and</w:t>
      </w:r>
    </w:p>
    <w:p>
      <w:pPr>
        <w:sectPr>
          <w:pgSz w:w="12240" w:h="15840" w:orient="portrait"/>
          <w:cols w:equalWidth="0" w:num="1">
            <w:col w:w="10160"/>
          </w:cols>
          <w:pgMar w:left="1080" w:top="1056" w:right="1000" w:bottom="175"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160"/>
          </w:cols>
          <w:pgMar w:left="1080" w:top="1056" w:right="1000" w:bottom="175" w:gutter="0" w:footer="0" w:header="0"/>
          <w:type w:val="continuous"/>
        </w:sectPr>
      </w:pPr>
    </w:p>
    <w:bookmarkStart w:id="13" w:name="page14"/>
    <w:bookmarkEnd w:id="13"/>
    <w:p>
      <w:pPr>
        <w:ind w:right="20"/>
        <w:spacing w:after="0" w:line="252" w:lineRule="auto"/>
        <w:rPr>
          <w:sz w:val="20"/>
          <w:szCs w:val="20"/>
          <w:color w:val="auto"/>
        </w:rPr>
      </w:pPr>
      <w:r>
        <w:rPr>
          <w:rFonts w:ascii="Times New Roman" w:cs="Times New Roman" w:eastAsia="Times New Roman" w:hAnsi="Times New Roman"/>
          <w:sz w:val="20"/>
          <w:szCs w:val="20"/>
          <w:color w:val="auto"/>
        </w:rPr>
        <w:t>specific MESI etiology, opening up the potential for KSI-101 to become a unifying treatment for this patient population. Based on APEX, the top two dose levels tested were selected to advance into the Phase 3 program. The PEAK and PINNACLE Phase 3 studies are actively enrolling MESI subjects at the 5 mg and 10 mg dose levels versus sham. Topline data readouts for PEAK and PINNACLE are expected in 4Q 2026 and 2Q 2027, respectively.</w:t>
      </w:r>
    </w:p>
    <w:p>
      <w:pPr>
        <w:spacing w:after="0" w:line="7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Beyond its clinical pipeline, Kodiak is advancing its platform technology to embed small molecules and other active pharmaceutical ingredients (“API”), into Kodiak’s proprietary biopolymer backbone to enable high drug-antibody ratio (“DAR”) medicines. The diverse APIs are designed to be released over time to achieve targeted, multi-specific and tailored modulation of biological pathways. We believe this unique combination of high DAR and extended therapeutic benefit offers potential for broad and important utility for multifactorial ophthalmic and systemic diseases. We call this platform extension our Antibody Biopolymer Conjugate Drug (“ABCD”) Platform because we are extending our platform capabilities to include the conjugation of small molecule drugs whereas historically we primarily conjugated biologics such as antibodies. Our ABCD platform is advancing a next set of investigational therapies for high prevalence retinal diseases, including our novel “duet” technology for glaucoma and geographic atrophy.</w:t>
      </w:r>
    </w:p>
    <w:p>
      <w:pPr>
        <w:spacing w:after="0" w:line="86" w:lineRule="exact"/>
        <w:rPr>
          <w:sz w:val="20"/>
          <w:szCs w:val="20"/>
          <w:color w:val="auto"/>
        </w:rPr>
      </w:pPr>
    </w:p>
    <w:p>
      <w:pPr>
        <w:ind w:right="460" w:firstLine="490"/>
        <w:spacing w:after="0" w:line="249" w:lineRule="auto"/>
        <w:rPr>
          <w:sz w:val="20"/>
          <w:szCs w:val="20"/>
          <w:color w:val="auto"/>
        </w:rPr>
      </w:pPr>
      <w:r>
        <w:rPr>
          <w:rFonts w:ascii="Times New Roman" w:cs="Times New Roman" w:eastAsia="Times New Roman" w:hAnsi="Times New Roman"/>
          <w:sz w:val="20"/>
          <w:szCs w:val="20"/>
          <w:color w:val="auto"/>
        </w:rPr>
        <w:t>In addition to advancing our pipeline, we have made progress in process development and commercial scale manufacturing, including the commissioning and regulatory approval of Ursus, our dedicated commercial-scale drug substance manufacturing facility that was custom-designed and built in collaboration with Lonza, a leading drug contract manufacturing firm. We believe these manufacturing efforts could position Kodiak for potential market share capture if tarcocimab and KSI-501 are approved.</w:t>
      </w:r>
    </w:p>
    <w:p>
      <w:pPr>
        <w:spacing w:after="0" w:line="77"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auto"/>
        </w:rPr>
        <w:t>To date, we have retained all global rights to make, use and sell its product candidates, which we believe preserves future value and allows for agile decision-making. Our objective is to develop our retina-focused product candidates, seek FDA approval and ultimately commercialize our product candidates in major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Zenkuda (tarcocimab) Clinical Program Summary</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Kodiak’s lead clinical program Zenkuda is an investigational anti-VEGF therapy built on Kodiak’s ABC platform and is designed to maintain potent and effective drug levels in ocular tissues for longer than existing available agents. It is being developed as a mainstay intravitreal biologic monotherapy intended to provide high immediacy, driven by its enhanced formulation and high durability from our ABC platform. Our ultimate objective is to provide a flexible 1-month through 6-month label to enable earlier treatment and prevention of vision loss for patients with diabetic retinopathy and to develop a new high immediacy and high durability agent to improve outcomes for patients with other retinal vascular diseases.</w:t>
      </w:r>
    </w:p>
    <w:p>
      <w:pPr>
        <w:spacing w:after="0" w:line="8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To date, the original, clinical formulation of tarcocimab was studied in six pivotal clinical studies: Phase 3 GLOW1 study in diabetic retinopathy (“DR”), Phase 3 BEACON study in retinal vein occlusion (“RVO”), Phase 3 DAYLIGHT study in wet AMD, Phase 3 GLEAM and GLIMMER studies with identical study design in diabetic macular edema (“DME”), and Phase 2/3 DAZZLE study in wet AMD. Of the six registrational studies, GLOW1, BEACON and DAYLIGHT successfully met the primary endpoint. An enhanced, commercial formulation of tarcocimab was studied in one Phase 3 clinical trial, GLOW2, and is currently being studied in a second Phase 3 clinical trial DAYBREAK. The GLOW2 study in DR successfully met the primary endpoint, and DAYBREAK has completed enrollment. We anticipate being in a position to announce topline data for the primary endpoint for DAYBREAK in 3Q 2026 and intend to file a BLA for tarcocimab in DR, RVO and wet AMD.</w:t>
      </w:r>
    </w:p>
    <w:p>
      <w:pPr>
        <w:spacing w:after="0" w:line="86"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auto"/>
        </w:rPr>
        <w:t>Both GLOW2 and DAYBREAK use tarcocimab’s enhanced 50 mg/mL formulation containing both conjugated and unconjugated antibody that is intended to deliver high immediacy and high durability.</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More information about study design and results, if completed, from each individual pivotal study are summarized next.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Ongoing Phase 3 Studies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DAYBREAK – Phase 3 Study in Patients with Wet Age-Related Macular Degeneration</w:t>
      </w:r>
    </w:p>
    <w:p>
      <w:pPr>
        <w:spacing w:after="0" w:line="118" w:lineRule="exact"/>
        <w:rPr>
          <w:sz w:val="20"/>
          <w:szCs w:val="20"/>
          <w:color w:val="auto"/>
        </w:rPr>
      </w:pPr>
    </w:p>
    <w:p>
      <w:pPr>
        <w:jc w:val="both"/>
        <w:ind w:right="60" w:firstLine="490"/>
        <w:spacing w:after="0" w:line="249" w:lineRule="auto"/>
        <w:rPr>
          <w:sz w:val="20"/>
          <w:szCs w:val="20"/>
          <w:color w:val="auto"/>
        </w:rPr>
      </w:pPr>
      <w:r>
        <w:rPr>
          <w:rFonts w:ascii="Times New Roman" w:cs="Times New Roman" w:eastAsia="Times New Roman" w:hAnsi="Times New Roman"/>
          <w:sz w:val="20"/>
          <w:szCs w:val="20"/>
          <w:color w:val="auto"/>
        </w:rPr>
        <w:t>The Phase 3 DAYBREAK study is a non-inferiority study evaluating parallel investigational arms of Zenkuda and KSI-501 against active comparator aflibercept. The DAYBREAK study incorporates learnings from prior pivotal trials of Zenkuda and was designed to maximize the probability of meeting the primary endpoint of non-inferiority in visual acuity gains.</w:t>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Patients randomized to Zenkuda will receive individualized dosing every 4 to 24 weeks on an as needed basis following four monthly loading doses. Patients randomized to aflibercept will be dosed per label. The individualized dosing of Zenkuda is determined by a treat-to-dryness proactive approach using the presence of retinal fluid as a disease activity marker, which resembles retina specialists' practice and optimizes each patient's treatment, instead of using a combination of central subfield thickness ("CST") and vision loss. The objectives for Zenkuda in DAYBREAK are to assess its durability potential, strengthen its competitive position in wet AMD and bolster the possible regulatory application package for the program. DAYBREAK was designed to demonstrate the potential for Zenkuda to be a mainstay biologic for VEGF-driven retinal vascular diseases</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160"/>
          </w:cols>
          <w:pgMar w:left="1080" w:top="1060" w:right="1000" w:bottom="175" w:gutter="0" w:footer="0" w:header="0"/>
          <w:type w:val="continuous"/>
        </w:sectPr>
      </w:pPr>
    </w:p>
    <w:bookmarkStart w:id="14" w:name="page15"/>
    <w:bookmarkEnd w:id="14"/>
    <w:p>
      <w:pPr>
        <w:ind w:right="60"/>
        <w:spacing w:after="0" w:line="277" w:lineRule="auto"/>
        <w:rPr>
          <w:sz w:val="20"/>
          <w:szCs w:val="20"/>
          <w:color w:val="auto"/>
        </w:rPr>
      </w:pPr>
      <w:r>
        <w:rPr>
          <w:rFonts w:ascii="Times New Roman" w:cs="Times New Roman" w:eastAsia="Times New Roman" w:hAnsi="Times New Roman"/>
          <w:sz w:val="20"/>
          <w:szCs w:val="20"/>
          <w:color w:val="auto"/>
        </w:rPr>
        <w:t>with both a strong efficacy/immediacy (driven by its enhanced formulation) and a strong durability (driven by its ABC design and science of durability). Topline data for the one-year primary endpoint in DAYBREAK are expected in 3Q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Completed Studies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GLOW1 and GLOW2 – Phase 3 studies in patients with diabetic retinopathy</w:t>
      </w:r>
    </w:p>
    <w:p>
      <w:pPr>
        <w:spacing w:after="0" w:line="118" w:lineRule="exact"/>
        <w:rPr>
          <w:sz w:val="20"/>
          <w:szCs w:val="20"/>
          <w:color w:val="auto"/>
        </w:rPr>
      </w:pPr>
    </w:p>
    <w:p>
      <w:pPr>
        <w:ind w:right="140" w:firstLine="490"/>
        <w:spacing w:after="0" w:line="241" w:lineRule="auto"/>
        <w:rPr>
          <w:sz w:val="20"/>
          <w:szCs w:val="20"/>
          <w:color w:val="auto"/>
        </w:rPr>
      </w:pPr>
      <w:r>
        <w:rPr>
          <w:rFonts w:ascii="Times New Roman" w:cs="Times New Roman" w:eastAsia="Times New Roman" w:hAnsi="Times New Roman"/>
          <w:sz w:val="20"/>
          <w:szCs w:val="20"/>
          <w:color w:val="auto"/>
        </w:rPr>
        <w:t xml:space="preserve">GLOW1 and GLOW2 were prospective, randomized, double-masked, sham-controlled, multicenter Phase 3 studies evaluating Zenkuda 5mg in participants with diabetic retinopathy. Both studies employed extended-interval dosing regimens with an ultimate treatment interval of every six months. The primary endpoint was the proportion of eyes improving by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2 steps on the Diabetic Retinopathy Severity Scale ("DRSS") from baseline to Week 48. Additional outcome measures include the proportion of eyes developing a sight-threatening complication of diabetic retinopathy and the proportion of eyes improving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3 steps on DRSS from baseline to Week 48.</w:t>
      </w:r>
    </w:p>
    <w:p>
      <w:pPr>
        <w:spacing w:after="0" w:line="8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the GLOW1 study, patients were randomized 1:1 to receive either sham injections or Zenkuda via intravitreal injection at baseline, Week 8, Week 20 and Week 44, for a planned four injections in year one. The Phase 3 GLOW1 study demonstrated that, with extended 6- month dosing in every patient, Zenkuda can achieve strong efficacy both in treating existing disease (primary endpoint) and preventing vision threatening complications and disease progression (key secondary endpoint). In GLOW1, Zenkuda met its primary endpoint of the proportion of patients with at least a 2-step improvement on the DRSS score with 41.1% of Zenkuda-treated patients demonstrating at least a 2-step improvement versus 1.4% of patients in the sham group, a 29-fold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89% decreased risk (2.3% with Zenkuda versus 21.0% with sham, p-value &lt; 0.0001).</w:t>
      </w:r>
    </w:p>
    <w:p>
      <w:pPr>
        <w:spacing w:after="0" w:line="82"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 xml:space="preserve">The Phase 3 GLOW2 study was designed as a confirmatory study to the Phase 3 GLOW1 study. Patients were randomized 1:1 to receive either sham injections or Zenkuda via intravitreal injection at baseline, Week 4, Week 8, Week 20 and Week 44, for a planned five injections in year one. The Phase 3 GLOW2 study confirmed findings from GLOW1 that, with extended 6- month dosing in all Zenkuda-treated patients, Zenkuda can achieve strong efficacy both in treating existing disease (primary endpoint) and preventing vision threatening complications and disease progression (key secondary endpoint). In GLOW2, Zenkuda met its primary endpoint of the proportion of patients with at least a 2 -step improvement on the DRSS, with 62.5% of Zenkuda-treated patients demonstrating at least a 2-step improvement versus 3.3% of patients in the sham group, a 19-fold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85% decreased risk (2.4% with Zenkuda versus 15.8% with sham, p-value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0.0001). Zenkuda was well-tolerated with low rates of common ocular adverse events. No cases of intraocular inflammation were reported in the study, and no cases of retinal vasculitis or occlusive retinal vasculitis were observed. The incidence of cataract in the study eye was low (2.3% with Zenkuda versus 1.6% with sham) and in line with expected background rates in patients with DR.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BEACON – Phase 3 Study in Patients with Treatment-Naïve Retinal Vein Occlusion</w:t>
      </w:r>
    </w:p>
    <w:p>
      <w:pPr>
        <w:spacing w:after="0" w:line="11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Phase 3 BEACON study was a randomized, double-masked, multicenter, active comparator-controlled study in treatment naïve patients with vision loss and macular edema due to retinal vein occlusion, including both branch (“BRVO”) and central (“CRVO”) subtypes. In the initial six months of the study, patients received tarcocimab on a fixed every-8-week dosing regimen following 2 monthly loading doses or aflibercept 2mg on a fixed monthly dosing regimen per its label. In the second six months of the study, tarcocimab and aflibercept were tested head-to-head according to a pro re nata (“PRN”) protocol in which patients in both groups were treated only when disease reactivated according to matched predefined disease activity criteria.</w:t>
      </w:r>
    </w:p>
    <w:p>
      <w:pPr>
        <w:spacing w:after="0" w:line="8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In August 2022, Kodiak announced that the BEACON study met the primary efficacy endpoint of non-inferior visual acuity change from baseline at week 24 for subjects given tarcocimab every two months after 2 monthly loading doses compared to subjects given monthly aflibercept.</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On September 7, 2023, Kodiak announced new one-year results from the BEACON study. Tarcocimab demonstrated matched efficacy with differentiated durability versus aflibercept in the head-to-head comparison. After 4 initiating doses in the first 6 months, 47% of tarcocimab-treated patients required no additional injections in the second 6 months while matching the vision and anatomic outcomes of aflibercept-treated patients. Despite receiving 6 initiating monthly doses, only 37% of aflibercept patients were injection free in the second half of the study. 77% of tarcocimab treated patients received 5 or fewer doses in year one, while 93% of aflibercept treated patients received 6 or more doses. BRVO patients received a median of 4.0 injections on tarcocimab versus 7.0 injections of aflibercept. Despite materially fewer injections in tarcocimab treated patients, vision outcomes favored tarcocimab- treated patients achieving an observed mean of 76.6 letters versus 75.6 letters for aflibercept treated patients. All RVO patients received a median of 5.0 injections on tarcocimab versus 7.0 injections of</w:t>
      </w:r>
    </w:p>
    <w:p>
      <w:pPr>
        <w:sectPr>
          <w:pgSz w:w="12240" w:h="15840" w:orient="portrait"/>
          <w:cols w:equalWidth="0" w:num="1">
            <w:col w:w="10140"/>
          </w:cols>
          <w:pgMar w:left="1080" w:top="1060" w:right="1020" w:bottom="175" w:gutter="0" w:footer="0" w:header="0"/>
        </w:sect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140"/>
          </w:cols>
          <w:pgMar w:left="1080" w:top="1060" w:right="1020" w:bottom="175" w:gutter="0" w:footer="0" w:header="0"/>
          <w:type w:val="continuous"/>
        </w:sectPr>
      </w:pPr>
    </w:p>
    <w:bookmarkStart w:id="15" w:name="page16"/>
    <w:bookmarkEnd w:id="15"/>
    <w:p>
      <w:pPr>
        <w:ind w:right="360"/>
        <w:spacing w:after="0" w:line="277" w:lineRule="auto"/>
        <w:rPr>
          <w:sz w:val="20"/>
          <w:szCs w:val="20"/>
          <w:color w:val="auto"/>
        </w:rPr>
      </w:pPr>
      <w:r>
        <w:rPr>
          <w:rFonts w:ascii="Times New Roman" w:cs="Times New Roman" w:eastAsia="Times New Roman" w:hAnsi="Times New Roman"/>
          <w:sz w:val="20"/>
          <w:szCs w:val="20"/>
          <w:color w:val="auto"/>
        </w:rPr>
        <w:t>aflibercept. Despite materially fewer injections in tarcocimab treated patients, vision outcomes favored tarcocimab-treated patients achieving an observed mean of 74.6 letters versus 74.3 letters for aflibercept treated patients.</w:t>
      </w:r>
    </w:p>
    <w:p>
      <w:pPr>
        <w:spacing w:after="0" w:line="4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Safety and tolerability were comparable between tarcocimab and aflibercept. Intraocular inflammation (“IOI”) rate was comparable between groups (tarcocimab 2.5% vs aflibercept 0.7%). No cases of inflammation associated with vascular occlusion or vasculitis were reported.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DAYLIGHT – Phase 3 Study in Patients with Treatment-Naïve Wet AMD</w:t>
      </w:r>
    </w:p>
    <w:p>
      <w:pPr>
        <w:spacing w:after="0" w:line="11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The DAYLIGHT study was a randomized, double-masked, active comparator-controlled study evaluating the efficacy and safety of a high intensity dosing regimen of tarcocimab in 557 treatment-naïve subjects with wet AMD. On July 24, 2023, Kodiak announced that the DAYLIGHT study met the primary endpoint of non-inferior visual acuity gains at year 1 for tarcocimab dosed monthly compared to aflibercept dosed every 8 weeks following 3 monthly loading doses. Intraocular inflammation occurred in 3.3% of patients treated with monthly tarcocimab and 0.4% of patients treated with aflibercept with no vasculitis or occlusion.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GLEAM / GLIMMER – Paired Phase 3 Studies in Patients with Treatment-Naïve Diabetic Macular Edema</w:t>
      </w:r>
    </w:p>
    <w:p>
      <w:pPr>
        <w:spacing w:after="0" w:line="118"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auto"/>
        </w:rPr>
        <w:t>The GLEAM and GLIMMER studies were identically designed, randomized, double-masked, active comparator-controlled studies evaluating the efficacy, durability and safety of tarcocimab in 460 and 457 treatment-naïve subjects with DME, respectively, run in parallel.</w:t>
      </w:r>
    </w:p>
    <w:p>
      <w:pPr>
        <w:spacing w:after="0" w:line="68"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On July 24, 2023, Kodiak announced that although high proportions of patients on meaningfully longer treatment intervals were observed with tarcocimab, with half of patients on every 24-week dosing at the primary endpoint, the GLEAM and GLIMMER studies did not meet their primary efficacy endpoints of showing non-inferior visual acuity gains for tarcocimab dosed every 8 to 24 weeks after 3 monthly loading doses compared to aflibercept given every 8 weeks after 5 monthly loading doses. At the primary efficacy endpoint of the GLEAM study, patients treated with tarcocimab gained an observed average of 6.4 eye chart letters (to 73.1 letters), compared with 10.3 letters for patients treated with aflibercept (to</w:t>
      </w:r>
    </w:p>
    <w:p>
      <w:pPr>
        <w:spacing w:after="0" w:line="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76.5 letters). In GLIMMER, patients treated with tarcocimab gained an observed average of 7.4 eye chart letters at the primary endpoint (to 72.5 letters) compared with 12.2 letters (to 76.4 letters) for patients treated with aflibercept.</w:t>
      </w:r>
    </w:p>
    <w:p>
      <w:pPr>
        <w:spacing w:after="0" w:line="77"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color w:val="auto"/>
        </w:rPr>
        <w:t>An unexpected increase in cataract adverse events was reported over time in the tarcocimab arms of both GLEAM and GLIMMER, with 19% on tarcocimab versus 9% on aflibercept at the primary endpoint based on the pooled safety population. Kodiak’s evaluation suggested that the decline in visual acuity associated with cataracts likely contributed meaningfully to the failure of each study.</w:t>
      </w:r>
    </w:p>
    <w:p>
      <w:pPr>
        <w:spacing w:after="0" w:line="7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Half of tarcocimab treated patients in the GLEAM and GLIMMER studies were on every 24-week dosing at the primary endpoint, two-thirds achieved at least one 6-month dosing interval during the studies, and three-quarters achieved at least one 5-month or longer treatment interval. Intraocular inflammation was rare, occurring in 1.3% and 0.2% of tarcocimab and aflibercept treated patients, respectively. No cases of intraocular inflammation with vasculitis or vascular occlusion were observed.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DAZZLE – Phase 2b/3 Study in Patients with Treatment-Naïve Wet AMD</w:t>
      </w:r>
    </w:p>
    <w:p>
      <w:pPr>
        <w:spacing w:after="0" w:line="118"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The DAZZLE study was a global, multi-center, randomized pivotal study designed to evaluate the durability, efficacy and safety of tarcocimab in patients with treatment-naïve wet AMD. In February 2022 Kodiak announced that this initial pivotal study did not meet its primary efficacy endpoint of non-inferior visual acuity gains for subjects dosed on extended regimens every 12-, 16- or 20 weeks with tarcocimab compared to subjects given aflibercept every 8 weeks. Following this announcement, Kodiak discontinued the study and concluded remaining trial-associated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KSI-501 Clinical Program Summary</w:t>
      </w:r>
    </w:p>
    <w:p>
      <w:pPr>
        <w:spacing w:after="0" w:line="120" w:lineRule="exact"/>
        <w:rPr>
          <w:sz w:val="20"/>
          <w:szCs w:val="20"/>
          <w:color w:val="auto"/>
        </w:rPr>
      </w:pPr>
    </w:p>
    <w:p>
      <w:pPr>
        <w:ind w:right="140" w:firstLine="540"/>
        <w:spacing w:after="0" w:line="252" w:lineRule="auto"/>
        <w:rPr>
          <w:sz w:val="20"/>
          <w:szCs w:val="20"/>
          <w:color w:val="auto"/>
        </w:rPr>
      </w:pPr>
      <w:r>
        <w:rPr>
          <w:rFonts w:ascii="Times New Roman" w:cs="Times New Roman" w:eastAsia="Times New Roman" w:hAnsi="Times New Roman"/>
          <w:sz w:val="20"/>
          <w:szCs w:val="20"/>
          <w:color w:val="auto"/>
        </w:rPr>
        <w:t>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spacing w:after="0" w:line="74" w:lineRule="exact"/>
        <w:rPr>
          <w:sz w:val="20"/>
          <w:szCs w:val="20"/>
          <w:color w:val="auto"/>
        </w:rPr>
      </w:pPr>
    </w:p>
    <w:p>
      <w:pPr>
        <w:ind w:right="360" w:firstLine="490"/>
        <w:spacing w:after="0" w:line="249" w:lineRule="auto"/>
        <w:rPr>
          <w:sz w:val="20"/>
          <w:szCs w:val="20"/>
          <w:color w:val="auto"/>
        </w:rPr>
      </w:pPr>
      <w:r>
        <w:rPr>
          <w:rFonts w:ascii="Times New Roman" w:cs="Times New Roman" w:eastAsia="Times New Roman" w:hAnsi="Times New Roman"/>
          <w:sz w:val="20"/>
          <w:szCs w:val="20"/>
          <w:color w:val="auto"/>
        </w:rPr>
        <w:t>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BCVA outcomes over time in wet AMD patients treated with anti-VEGF monotherapy, which suggests that IL-6 inhibition in combination with anti-VEGF therapy could lead to improved outcomes.</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160"/>
          </w:cols>
          <w:pgMar w:left="1080" w:top="1060" w:right="1000" w:bottom="175" w:gutter="0" w:footer="0" w:header="0"/>
          <w:type w:val="continuous"/>
        </w:sectPr>
      </w:pPr>
    </w:p>
    <w:bookmarkStart w:id="16" w:name="page17"/>
    <w:bookmarkEnd w:id="16"/>
    <w:p>
      <w:pPr>
        <w:jc w:val="both"/>
        <w:ind w:right="420" w:firstLine="490"/>
        <w:spacing w:after="0" w:line="258" w:lineRule="auto"/>
        <w:rPr>
          <w:sz w:val="20"/>
          <w:szCs w:val="20"/>
          <w:color w:val="auto"/>
        </w:rPr>
      </w:pPr>
      <w:r>
        <w:rPr>
          <w:rFonts w:ascii="Times New Roman" w:cs="Times New Roman" w:eastAsia="Times New Roman" w:hAnsi="Times New Roman"/>
          <w:sz w:val="20"/>
          <w:szCs w:val="20"/>
          <w:color w:val="auto"/>
        </w:rPr>
        <w:t>Kodiak has advanced KSI-501 into the Phase 3 study DAYBREAK to evaluate its efficacy and safety in wet AMD. DAYBREAK has completed enrollment. DAYBREAK uses KSI-501's enhanced 50 mg/mL formulation containing both conjugated and unconjugated antibody that is intended to balance immediacy and durability.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About DAYBREAK (and KSI-501)</w:t>
      </w:r>
    </w:p>
    <w:p>
      <w:pPr>
        <w:spacing w:after="0" w:line="11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DAYBREAK study is a non-inferiority study evaluating parallel investigational arms of KSI-501 and Zenkuda against active comparator aflibercept. Patients randomized to KSI-501 will receive fixed every 8-week dosing with additional individualized dosing (up to monthly dosing) on an as needed basis after four monthly loading doses. Patients randomized to aflibercept will be dosed per label. Using the same treat-to-dryness approach as Zenkuda,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IL-6 and VEGF inhibition in a broad treatment-naïve wet AMD population. DAYBREAK has completed enrollment. Topline data for the one-year primary endpoint in DAYBREAK are expected in 3Q 2026.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KSI-101 Clinical Program Summary</w:t>
      </w:r>
    </w:p>
    <w:p>
      <w:pPr>
        <w:spacing w:after="0" w:line="120"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auto"/>
        </w:rPr>
        <w:t>KSI-101 is a high strength (100 mg/mL) bispecific protein targeting IL-6 and VEGF. We are developing KSI-101 for patients with macular edema (retinal fluid) secondary to inflammation ("MESI"). MESI is a heterogenous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w:t>
      </w:r>
    </w:p>
    <w:p>
      <w:pPr>
        <w:spacing w:after="0" w:line="80"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Currently there are no available intravitreal biologic therapies addressing the spectrum of MESI diseases. We believe that MESI represents a new market segment separate from the established anti-VEGF market.</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Our completed dose-finding Phase 1b study APEX evaluated KSI-101 in two cohorts, Cohort 1 in patients with diabetic macular edema (DME) and Cohort 2 in patients with MESI. APEX demonstrated that KSI-101 provides meaningful visual and anatomical gains in both DME and MESI and that KSI-101 is well tolerated. Meaningful treatment responses were seen in the MESI population, irrespective of the location of inflammation and specific MESI etiology, opening up the potential for KSI-101 to become a unifying treatment for this patient population.</w:t>
      </w:r>
    </w:p>
    <w:p>
      <w:pPr>
        <w:spacing w:after="0" w:line="77"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auto"/>
        </w:rPr>
        <w:t>Based on APEX, the top two dose levels tested were selected to advance into the Phase 3 program. The PEAK and PINNACLE Phase 3 studies are actively enrolling MESI subjects at the 5 mg and 10 mg dose levels versus sham.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About PEAK and PINNACLE</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Patients randomized to the KSI-101 treatment arms will receive fixed monthly dosing for 6 doses (from Day 1 to Week 20) ,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Topline data readouts for PEAK and PINNACLE are expected in 4Q 2026 and 2Q 2027,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Antibody Biopolymer Conjugate Drug Substance Manufacturing</w:t>
      </w:r>
    </w:p>
    <w:p>
      <w:pPr>
        <w:spacing w:after="0" w:line="12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In August 2020, we entered into a manufacturing agreement with Lonza for the clinical and commercial supply of the Company’s antibody biopolymer conjugate drug substance which included a custom-built manufacturing facility. The manufacturing agreement has an initial term of 8 years, and the Company has the right to extend the term up to a total of 16 years. The Company and Lonza each have the ability to terminate this agreement upon the occurrence of certain events.</w:t>
      </w:r>
    </w:p>
    <w:p>
      <w:pPr>
        <w:spacing w:after="0" w:line="74"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160"/>
          </w:cols>
          <w:pgMar w:left="1080" w:top="1060" w:right="1000" w:bottom="175" w:gutter="0" w:footer="0" w:header="0"/>
          <w:type w:val="continuous"/>
        </w:sectPr>
      </w:pPr>
    </w:p>
    <w:bookmarkStart w:id="17" w:name="page18"/>
    <w:bookmarkEnd w:id="17"/>
    <w:p>
      <w:pPr>
        <w:ind w:firstLine="490"/>
        <w:spacing w:after="0" w:line="249" w:lineRule="auto"/>
        <w:rPr>
          <w:sz w:val="20"/>
          <w:szCs w:val="20"/>
          <w:color w:val="auto"/>
        </w:rPr>
      </w:pPr>
      <w:r>
        <w:rPr>
          <w:rFonts w:ascii="Times New Roman" w:cs="Times New Roman" w:eastAsia="Times New Roman" w:hAnsi="Times New Roman"/>
          <w:sz w:val="20"/>
          <w:szCs w:val="20"/>
          <w:color w:val="auto"/>
        </w:rPr>
        <w:t>Under the agreement, Kodiak and Lonza planned a custom-built facility (“Ursus”) dedicated to the commercial-scale manufacturing of Kodiak’s drug substance. In January 2023, the custom-built manufacturing suite Ursus was commissioned as a cGMP facility. Kodiak worked together with Lonza and regulatory authorities to obtain approval for Ursus, and we released our first commercial scale cGMP batch of tarcocimab in July 2023. Separately, tarcocimab drug product based on our enhanced formulation was released in March 2024 and is being used in the GLOW2 and DAYBREAK pivotal studies.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KSI-501 and KSI-101 Manufacturing</w:t>
      </w:r>
    </w:p>
    <w:p>
      <w:pPr>
        <w:spacing w:after="0" w:line="12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We have been progressing the manufacturing of KSI-501 and KSI-101 in support of ongoing clinical studies. Clinical material for both KSI-501 (50 mg/mL strength in our enhanced formulation) and KSI-101 (100 mg/mL strength) were successfully manufactured in the first quarter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ABC Platform Development and Pipeline</w:t>
      </w:r>
    </w:p>
    <w:p>
      <w:pPr>
        <w:spacing w:after="0" w:line="12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With regards to our pipeline programs, 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w:t>
      </w:r>
    </w:p>
    <w:p>
      <w:pPr>
        <w:spacing w:after="0" w:line="68"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We are advancing our platform technology to embed small molecules and other active pharmaceutical ingredients (“API”) into our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primarily conjugated biologics such as antibodies.</w:t>
      </w:r>
    </w:p>
    <w:p>
      <w:pPr>
        <w:spacing w:after="0" w:line="82"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w:t>
      </w:r>
    </w:p>
    <w:p>
      <w:pPr>
        <w:spacing w:after="0" w:line="80"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The second program is for the treatment of geographic atrophy (“GA”). There are two approved therapies, both complement inhibitors, and they require monthly or every other month intravitreal injections and neither sufficiently halts disease progression. Our program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spacing w:after="0" w:line="82" w:lineRule="exact"/>
        <w:rPr>
          <w:sz w:val="20"/>
          <w:szCs w:val="20"/>
          <w:color w:val="auto"/>
        </w:rPr>
      </w:pPr>
    </w:p>
    <w:p>
      <w:pPr>
        <w:ind w:right="800" w:firstLine="490"/>
        <w:spacing w:after="0" w:line="365" w:lineRule="auto"/>
        <w:rPr>
          <w:sz w:val="20"/>
          <w:szCs w:val="20"/>
          <w:color w:val="auto"/>
        </w:rPr>
      </w:pPr>
      <w:r>
        <w:rPr>
          <w:rFonts w:ascii="Times New Roman" w:cs="Times New Roman" w:eastAsia="Times New Roman" w:hAnsi="Times New Roman"/>
          <w:sz w:val="20"/>
          <w:szCs w:val="20"/>
          <w:color w:val="auto"/>
        </w:rPr>
        <w:t xml:space="preserve">Our retina duet programs in glaucoma and GA built with our ABC platform continue to progress towards IND. </w:t>
      </w:r>
      <w:r>
        <w:rPr>
          <w:rFonts w:ascii="Times New Roman" w:cs="Times New Roman" w:eastAsia="Times New Roman" w:hAnsi="Times New Roman"/>
          <w:sz w:val="20"/>
          <w:szCs w:val="20"/>
          <w:b w:val="1"/>
          <w:bCs w:val="1"/>
          <w:color w:val="auto"/>
        </w:rPr>
        <w:t>Digital Health Platform Development</w:t>
      </w:r>
    </w:p>
    <w:p>
      <w:pPr>
        <w:ind w:right="160" w:firstLine="540"/>
        <w:spacing w:after="0" w:line="249" w:lineRule="auto"/>
        <w:rPr>
          <w:sz w:val="20"/>
          <w:szCs w:val="20"/>
          <w:color w:val="auto"/>
        </w:rPr>
      </w:pPr>
      <w:r>
        <w:rPr>
          <w:rFonts w:ascii="Times New Roman" w:cs="Times New Roman" w:eastAsia="Times New Roman" w:hAnsi="Times New Roman"/>
          <w:sz w:val="20"/>
          <w:szCs w:val="20"/>
          <w:color w:val="auto"/>
        </w:rPr>
        <w:t>Our VETi (Visual Engagement Technology and imager) program has achieved significant advancements in hardware, software and algorithms development. VETi is our AI - and machine-learning-enabled wearable headset with applications in retina care alongside broader opportunities in identity security and cognitive sciences. This progress is reflective of Kodiak’s long term planning and execution towards an enhanced identity as a vision sciences company, integrating proprietary therapeutics and next-generation vision technologies.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120" w:lineRule="exact"/>
        <w:rPr>
          <w:sz w:val="20"/>
          <w:szCs w:val="20"/>
          <w:color w:val="auto"/>
        </w:rPr>
      </w:pPr>
    </w:p>
    <w:p>
      <w:pPr>
        <w:jc w:val="both"/>
        <w:ind w:right="380" w:firstLine="490"/>
        <w:spacing w:after="0" w:line="258" w:lineRule="auto"/>
        <w:rPr>
          <w:sz w:val="20"/>
          <w:szCs w:val="20"/>
          <w:color w:val="auto"/>
        </w:rPr>
      </w:pPr>
      <w:r>
        <w:rPr>
          <w:rFonts w:ascii="Times New Roman" w:cs="Times New Roman" w:eastAsia="Times New Roman" w:hAnsi="Times New Roman"/>
          <w:sz w:val="20"/>
          <w:szCs w:val="20"/>
          <w:color w:val="auto"/>
        </w:rPr>
        <w:t>The current standard of care for DR (including DME), RVO and wet AMD consists of intravitreal administration of anti-VEGF therapies. Leading agents include Avastin, Eylea and Eylea HD, Vabysmo, Lucentis and its biosimilars. These therapies are well-established, widely utilized and broadly reimbursed by third-party payors.</w:t>
      </w:r>
    </w:p>
    <w:p>
      <w:pPr>
        <w:spacing w:after="0" w:line="6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Among these, Vabysmo, a bispecific antibody targeting both VEGF-A and angiopoietin-2 (Ang-2), has achieved significant market adoption since its launch and now treats a substantial share of treated patients. Vabysmo demonstrated non-inferior visual acuity outcomes versus Eylea in Phase 3 trials across wet AMD, DME and RVO, with extended dosing intervals of up to every 16 weeks in a meaningful proportion of patients.</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160"/>
          </w:cols>
          <w:pgMar w:left="1080" w:top="1060" w:right="1000" w:bottom="175" w:gutter="0" w:footer="0" w:header="0"/>
          <w:type w:val="continuous"/>
        </w:sectPr>
      </w:pPr>
    </w:p>
    <w:bookmarkStart w:id="18" w:name="page19"/>
    <w:bookmarkEnd w:id="18"/>
    <w:p>
      <w:pPr>
        <w:ind w:right="180" w:firstLine="490"/>
        <w:spacing w:after="0" w:line="258" w:lineRule="auto"/>
        <w:rPr>
          <w:sz w:val="20"/>
          <w:szCs w:val="20"/>
          <w:color w:val="auto"/>
        </w:rPr>
      </w:pPr>
      <w:r>
        <w:rPr>
          <w:rFonts w:ascii="Times New Roman" w:cs="Times New Roman" w:eastAsia="Times New Roman" w:hAnsi="Times New Roman"/>
          <w:sz w:val="20"/>
          <w:szCs w:val="20"/>
          <w:color w:val="auto"/>
        </w:rPr>
        <w:t>Regeneron’s Eylea HD is a major competitive product, with FDA approvals across wet AMD, DME, DR and RVO. In Phase 3 trials, Eylea HD demonstrated non-inferior visual acuity compared to standard-dose Eylea with extended dosing intervals of up to every 12–16 weeks for many patients.</w:t>
      </w:r>
    </w:p>
    <w:p>
      <w:pPr>
        <w:spacing w:after="0" w:line="68"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There are also other companies and research organizations developing treatments targeting other molecular targets, potential gene therapy treatments, stem cell transplant treatments, medical devices as well as biosimilars for the treatment of DR, RVO and wet AMD. We believe the therapeutic space of retinal diseases may become increasingly competitive in the future.</w:t>
      </w:r>
    </w:p>
    <w:p>
      <w:pPr>
        <w:spacing w:after="0" w:line="74"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auto"/>
        </w:rPr>
        <w:t>Overall, the retinal disease treatment landscape is increasingly competitive, with multiple established agents and a continued shift toward therapies offering extended durability and reduced treatment burden.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w:t>
      </w:r>
    </w:p>
    <w:p>
      <w:pPr>
        <w:spacing w:after="0" w:line="120"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Drug Development</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89"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Any future product candidates must be approved by the FDA through either a new drug application, or NDA, or a BLA, process before they may be legally marketed in the United States. The process generally involves the following:</w:t>
      </w:r>
    </w:p>
    <w:p>
      <w:pPr>
        <w:spacing w:after="0" w:line="64" w:lineRule="exact"/>
        <w:rPr>
          <w:sz w:val="20"/>
          <w:szCs w:val="20"/>
          <w:color w:val="auto"/>
        </w:rPr>
      </w:pPr>
    </w:p>
    <w:p>
      <w:pPr>
        <w:ind w:left="720" w:right="100" w:hanging="360"/>
        <w:spacing w:after="0" w:line="276"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extensive preclinical studies in accordance with applicable regulations, including studies conducted in accordance with good laboratory practice requirements;</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133" w:lineRule="exact"/>
        <w:rPr>
          <w:rFonts w:ascii="Arial" w:cs="Arial" w:eastAsia="Arial" w:hAnsi="Arial"/>
          <w:sz w:val="20"/>
          <w:szCs w:val="20"/>
          <w:color w:val="auto"/>
        </w:rPr>
      </w:pPr>
    </w:p>
    <w:p>
      <w:pPr>
        <w:ind w:left="720" w:right="280" w:hanging="360"/>
        <w:spacing w:after="0" w:line="276"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or IRB, or ethics committee at each clinical trial site before each trial may be initiated;</w:t>
      </w:r>
    </w:p>
    <w:p>
      <w:pPr>
        <w:spacing w:after="0" w:line="64" w:lineRule="exact"/>
        <w:rPr>
          <w:rFonts w:ascii="Arial" w:cs="Arial" w:eastAsia="Arial" w:hAnsi="Arial"/>
          <w:sz w:val="20"/>
          <w:szCs w:val="20"/>
          <w:color w:val="auto"/>
        </w:rPr>
      </w:pPr>
    </w:p>
    <w:p>
      <w:pPr>
        <w:jc w:val="both"/>
        <w:ind w:left="720" w:right="320" w:hanging="360"/>
        <w:spacing w:after="0" w:line="258"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1"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NDA or BLA;</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 determination by the FDA within 60 days of its receipt of an NDA or BLA to accept the filing for review;</w:t>
      </w:r>
    </w:p>
    <w:p>
      <w:pPr>
        <w:spacing w:after="0" w:line="133" w:lineRule="exact"/>
        <w:rPr>
          <w:rFonts w:ascii="Arial" w:cs="Arial" w:eastAsia="Arial" w:hAnsi="Arial"/>
          <w:sz w:val="20"/>
          <w:szCs w:val="20"/>
          <w:color w:val="auto"/>
        </w:rPr>
      </w:pPr>
    </w:p>
    <w:p>
      <w:pPr>
        <w:ind w:left="720" w:right="40" w:hanging="360"/>
        <w:spacing w:after="0" w:line="252"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spacing w:after="0" w:line="87"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FDA audit of the preclinical and/or clinical trial sites that generated the data in support of the NDA or BLA;</w:t>
      </w:r>
    </w:p>
    <w:p>
      <w:pPr>
        <w:spacing w:after="0" w:line="133"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or BLA, including consideration of the views of any FDA advisory committee, prior to any commercial marketing or sale of the drug or biologic in the United States; and</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160"/>
          </w:cols>
          <w:pgMar w:left="1080" w:top="1060" w:right="1000" w:bottom="175" w:gutter="0" w:footer="0" w:header="0"/>
          <w:type w:val="continuous"/>
        </w:sectPr>
      </w:pPr>
    </w:p>
    <w:bookmarkStart w:id="19" w:name="page20"/>
    <w:bookmarkEnd w:id="19"/>
    <w:p>
      <w:pPr>
        <w:ind w:left="720" w:right="20" w:hanging="360"/>
        <w:spacing w:after="0" w:line="276"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any post-approval requirements, including the potential requirement to implement a Risk Evaluation and Mitigation Strategy, or REMS, and the potential requirement to conduct post-approval studies.</w:t>
      </w:r>
    </w:p>
    <w:p>
      <w:pPr>
        <w:spacing w:after="0" w:line="5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 and IND</w:t>
      </w:r>
    </w:p>
    <w:p>
      <w:pPr>
        <w:spacing w:after="0" w:line="120"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6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good laboratory practice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86"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77"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auto"/>
        </w:rPr>
        <w:t>Clinical trials in the United States generally are conducted in three sequential phases, known as Phase 1, Phase 2 and Phase 3, and may overlap.</w:t>
      </w:r>
    </w:p>
    <w:p>
      <w:pPr>
        <w:spacing w:after="0" w:line="64" w:lineRule="exact"/>
        <w:rPr>
          <w:sz w:val="20"/>
          <w:szCs w:val="20"/>
          <w:color w:val="auto"/>
        </w:rPr>
      </w:pPr>
    </w:p>
    <w:p>
      <w:pPr>
        <w:ind w:left="720" w:right="340" w:hanging="360"/>
        <w:spacing w:after="0" w:line="258"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81" w:lineRule="exact"/>
        <w:rPr>
          <w:rFonts w:ascii="Arial" w:cs="Arial" w:eastAsia="Arial" w:hAnsi="Arial"/>
          <w:sz w:val="20"/>
          <w:szCs w:val="20"/>
          <w:color w:val="auto"/>
        </w:rPr>
      </w:pPr>
    </w:p>
    <w:p>
      <w:pPr>
        <w:ind w:left="720" w:right="580" w:hanging="360"/>
        <w:spacing w:after="0" w:line="252"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ectPr>
          <w:pgSz w:w="12240" w:h="15840" w:orient="portrait"/>
          <w:cols w:equalWidth="0" w:num="1">
            <w:col w:w="10160"/>
          </w:cols>
          <w:pgMar w:left="1080" w:top="1074"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160"/>
          </w:cols>
          <w:pgMar w:left="1080" w:top="1074" w:right="1000" w:bottom="175" w:gutter="0" w:footer="0" w:header="0"/>
          <w:type w:val="continuous"/>
        </w:sectPr>
      </w:pPr>
    </w:p>
    <w:bookmarkStart w:id="20" w:name="page21"/>
    <w:bookmarkEnd w:id="20"/>
    <w:p>
      <w:pPr>
        <w:ind w:left="720" w:right="280" w:hanging="360"/>
        <w:spacing w:after="0" w:line="249"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6"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74"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NDA/BLA Review Process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8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Under the Prescription Drug User Fee Act, or PDUFA, as amended, each NDA or BLA must be accompanied by a user fee. The FDA adjusts the PDUFA user fees on an annual basis. PDUFA also imposes an annual program fee for approved human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ectPr>
          <w:pgSz w:w="12240" w:h="15840" w:orient="portrait"/>
          <w:cols w:equalWidth="0" w:num="1">
            <w:col w:w="10160"/>
          </w:cols>
          <w:pgMar w:left="1080" w:top="1074"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160"/>
          </w:cols>
          <w:pgMar w:left="1080" w:top="1074" w:right="1000" w:bottom="175" w:gutter="0" w:footer="0" w:header="0"/>
          <w:type w:val="continuous"/>
        </w:sectPr>
      </w:pPr>
    </w:p>
    <w:bookmarkStart w:id="21" w:name="page22"/>
    <w:bookmarkEnd w:id="21"/>
    <w:p>
      <w:pPr>
        <w:ind w:firstLine="490"/>
        <w:spacing w:after="0" w:line="242" w:lineRule="auto"/>
        <w:rPr>
          <w:sz w:val="20"/>
          <w:szCs w:val="20"/>
          <w:color w:val="auto"/>
        </w:rPr>
      </w:pPr>
      <w:r>
        <w:rPr>
          <w:rFonts w:ascii="Times New Roman" w:cs="Times New Roman" w:eastAsia="Times New Roman" w:hAnsi="Times New Roman"/>
          <w:sz w:val="20"/>
          <w:szCs w:val="20"/>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8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74"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8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Abbreviated Licensure Pathway of Biological Products as Biosimilar or Interchangeable</w:t>
      </w:r>
    </w:p>
    <w:p>
      <w:pPr>
        <w:spacing w:after="0" w:line="12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or BPCIA, created an abbreviated approval pathway for biological products shown to be highly similar to an FDA-licensed reference biological product. An application for licensure of a biosimilar product must include information demonstrating biosimilarity based upon the following, unless the FDA determines otherwise:</w:t>
      </w:r>
    </w:p>
    <w:p>
      <w:pPr>
        <w:spacing w:after="0" w:line="88" w:lineRule="exact"/>
        <w:rPr>
          <w:sz w:val="20"/>
          <w:szCs w:val="20"/>
          <w:color w:val="auto"/>
        </w:rPr>
      </w:pPr>
    </w:p>
    <w:p>
      <w:pPr>
        <w:ind w:left="720" w:right="600" w:hanging="360"/>
        <w:spacing w:after="0" w:line="27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analytical studies demonstrating that the proposed biosimilar product is highly similar to the approved product notwithstanding minor differences in clinically inactive components;</w:t>
      </w:r>
    </w:p>
    <w:p>
      <w:pPr>
        <w:sectPr>
          <w:pgSz w:w="12240" w:h="15840" w:orient="portrait"/>
          <w:cols w:equalWidth="0" w:num="1">
            <w:col w:w="10160"/>
          </w:cols>
          <w:pgMar w:left="1080" w:top="1060" w:right="1000" w:bottom="175"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160"/>
          </w:cols>
          <w:pgMar w:left="1080" w:top="1060" w:right="1000" w:bottom="175" w:gutter="0" w:footer="0" w:header="0"/>
          <w:type w:val="continuous"/>
        </w:sectPr>
      </w:pPr>
    </w:p>
    <w:bookmarkStart w:id="22" w:name="page23"/>
    <w:bookmarkEnd w:id="22"/>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animal studies (including the assessment of toxicity); and</w:t>
      </w:r>
    </w:p>
    <w:p>
      <w:pPr>
        <w:spacing w:after="0" w:line="133" w:lineRule="exact"/>
        <w:rPr>
          <w:rFonts w:ascii="Arial" w:cs="Arial" w:eastAsia="Arial" w:hAnsi="Arial"/>
          <w:sz w:val="20"/>
          <w:szCs w:val="20"/>
          <w:color w:val="auto"/>
        </w:rPr>
      </w:pPr>
    </w:p>
    <w:p>
      <w:pPr>
        <w:ind w:left="720" w:right="40" w:hanging="360"/>
        <w:spacing w:after="0" w:line="258"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 clinical study or studies (including the assessment of immunogenicity and pharmacokinetics or pharmacodynamics) sufficient to demonstrate safety, purity and potency in one or more conditions for which the reference product is licensed and intended to be used.</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addition, an application must include information demonstrating that:</w:t>
      </w:r>
    </w:p>
    <w:p>
      <w:pPr>
        <w:spacing w:after="0" w:line="133" w:lineRule="exact"/>
        <w:rPr>
          <w:sz w:val="20"/>
          <w:szCs w:val="20"/>
          <w:color w:val="auto"/>
        </w:rPr>
      </w:pPr>
    </w:p>
    <w:p>
      <w:pPr>
        <w:ind w:left="720" w:right="220" w:hanging="360"/>
        <w:spacing w:after="0" w:line="25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proposed biosimilar product and reference product utilize the same MOA for the condition(s) of use prescribed, recommended, or suggested in the proposed labeling, but only to the extent the MOA are known for the reference product;</w:t>
      </w:r>
    </w:p>
    <w:p>
      <w:pPr>
        <w:spacing w:after="0" w:line="81" w:lineRule="exact"/>
        <w:rPr>
          <w:rFonts w:ascii="Arial" w:cs="Arial" w:eastAsia="Arial" w:hAnsi="Arial"/>
          <w:sz w:val="20"/>
          <w:szCs w:val="20"/>
          <w:color w:val="auto"/>
        </w:rPr>
      </w:pPr>
    </w:p>
    <w:p>
      <w:pPr>
        <w:ind w:left="720" w:right="120" w:hanging="360"/>
        <w:spacing w:after="0" w:line="276"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condition or conditions of use prescribed, recommended, or suggested in the labeling for the proposed biosimilar product have been previously approved for the reference product;</w:t>
      </w:r>
    </w:p>
    <w:p>
      <w:pPr>
        <w:spacing w:after="0" w:line="64" w:lineRule="exact"/>
        <w:rPr>
          <w:rFonts w:ascii="Arial" w:cs="Arial" w:eastAsia="Arial" w:hAnsi="Arial"/>
          <w:sz w:val="20"/>
          <w:szCs w:val="20"/>
          <w:color w:val="auto"/>
        </w:rPr>
      </w:pPr>
    </w:p>
    <w:p>
      <w:pPr>
        <w:ind w:left="720" w:right="460" w:hanging="360"/>
        <w:spacing w:after="0" w:line="276"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route of administration, the dosage form, and the strength of the proposed biosimilar product are the same as those for the reference product; and</w:t>
      </w:r>
    </w:p>
    <w:p>
      <w:pPr>
        <w:spacing w:after="0" w:line="64" w:lineRule="exact"/>
        <w:rPr>
          <w:rFonts w:ascii="Arial" w:cs="Arial" w:eastAsia="Arial" w:hAnsi="Arial"/>
          <w:sz w:val="20"/>
          <w:szCs w:val="20"/>
          <w:color w:val="auto"/>
        </w:rPr>
      </w:pPr>
    </w:p>
    <w:p>
      <w:pPr>
        <w:ind w:left="720" w:right="240" w:hanging="360"/>
        <w:spacing w:after="0" w:line="276"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facility in which the biological product is manufactured, processed, packed or held meets standards designed to assure that the biological product continues to be safe, pure, and potent.</w:t>
      </w:r>
    </w:p>
    <w:p>
      <w:pPr>
        <w:spacing w:after="0" w:line="5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94" w:lineRule="exact"/>
        <w:rPr>
          <w:sz w:val="20"/>
          <w:szCs w:val="20"/>
          <w:color w:val="auto"/>
        </w:rPr>
      </w:pPr>
    </w:p>
    <w:p>
      <w:pPr>
        <w:ind w:left="720" w:hanging="360"/>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proposed product is biosimilar to the reference product;</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proposed product is expected to produce the same clinical result as the reference product in any given patient; and</w:t>
      </w:r>
    </w:p>
    <w:p>
      <w:pPr>
        <w:spacing w:after="0" w:line="133" w:lineRule="exact"/>
        <w:rPr>
          <w:rFonts w:ascii="Arial" w:cs="Arial" w:eastAsia="Arial" w:hAnsi="Arial"/>
          <w:sz w:val="20"/>
          <w:szCs w:val="20"/>
          <w:color w:val="auto"/>
        </w:rPr>
      </w:pPr>
    </w:p>
    <w:p>
      <w:pPr>
        <w:ind w:left="720" w:hanging="360"/>
        <w:spacing w:after="0" w:line="258"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67"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auto"/>
        </w:rPr>
        <w:t>FDA approval is required before a biosimilar may be marketed in the United States. In addition, as with BLAs, biosimilar product applications will not be approved unless the product is manufactured in facilities designed to assure and preserve the biological product’s safety, purity and potency.</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12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12-year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 -sponsored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w:t>
      </w:r>
    </w:p>
    <w:p>
      <w:pPr>
        <w:sectPr>
          <w:pgSz w:w="12240" w:h="15840" w:orient="portrait"/>
          <w:cols w:equalWidth="0" w:num="1">
            <w:col w:w="10160"/>
          </w:cols>
          <w:pgMar w:left="1080" w:top="1074" w:right="1000" w:bottom="175"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160"/>
          </w:cols>
          <w:pgMar w:left="1080" w:top="1074" w:right="1000" w:bottom="175" w:gutter="0" w:footer="0" w:header="0"/>
          <w:type w:val="continuous"/>
        </w:sectPr>
      </w:pPr>
    </w:p>
    <w:bookmarkStart w:id="23" w:name="page24"/>
    <w:bookmarkEnd w:id="23"/>
    <w:p>
      <w:pPr>
        <w:ind w:right="180"/>
        <w:spacing w:after="0" w:line="305" w:lineRule="auto"/>
        <w:rPr>
          <w:sz w:val="20"/>
          <w:szCs w:val="20"/>
          <w:color w:val="auto"/>
        </w:rPr>
      </w:pPr>
      <w:r>
        <w:rPr>
          <w:rFonts w:ascii="Times New Roman" w:cs="Times New Roman" w:eastAsia="Times New Roman" w:hAnsi="Times New Roman"/>
          <w:sz w:val="19"/>
          <w:szCs w:val="19"/>
          <w:color w:val="auto"/>
        </w:rPr>
        <w:t>manufacturing processes or facilities, the applicant may be required to submit and obtain FDA approval of a new NDA/BLA or NDA/BLA supplement, which may require the development of additional data or preclinical studies and clinical trials.</w:t>
      </w:r>
    </w:p>
    <w:p>
      <w:pPr>
        <w:spacing w:after="0" w:line="25"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7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720" w:right="560" w:hanging="360"/>
        <w:spacing w:after="0" w:line="276"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studies;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applications, or suspension or revocation of product license approvals;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1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U.S. Regulatory Laws</w:t>
      </w:r>
    </w:p>
    <w:p>
      <w:pPr>
        <w:spacing w:after="0" w:line="111" w:lineRule="exact"/>
        <w:rPr>
          <w:sz w:val="20"/>
          <w:szCs w:val="20"/>
          <w:color w:val="auto"/>
        </w:rPr>
      </w:pPr>
    </w:p>
    <w:p>
      <w:pPr>
        <w:ind w:right="200" w:firstLine="490"/>
        <w:spacing w:after="0" w:line="239" w:lineRule="auto"/>
        <w:rPr>
          <w:sz w:val="20"/>
          <w:szCs w:val="20"/>
          <w:color w:val="auto"/>
        </w:rPr>
      </w:pPr>
      <w:r>
        <w:rPr>
          <w:rFonts w:ascii="Times New Roman" w:cs="Times New Roman" w:eastAsia="Times New Roman" w:hAnsi="Times New Roman"/>
          <w:sz w:val="20"/>
          <w:szCs w:val="20"/>
          <w:color w:val="auto"/>
        </w:rPr>
        <w:t>Manufacturing, sales, promotion and other activities following product approval are also subject to regulation by numerous regulatory authorities in the United States in addition to the FDA, including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79"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For example, in the United States, our business operations, including any sales, marketing and scientific and educational programs, also must comply with state and federal fraud and abuse laws, including the federal Anti-Kickback Statue and false claims laws; federal data privacy and security laws; and federal transparency laws related to payments and/or other transfers of value made to physicians and other healthcare professionals and teaching hospitals. The federal Anti-Kickback Statute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Health Care Act, as amended by the Health Care and Education Reconciliation Act, or collectively the ACA, provides that the government may assert that a claim including items or services resulting from a violation of the federal Anti-Kickback Statute constitutes a false or fraudulent claim for purposes of the False Claims Act. Federal false claims laws, including the False Claims Act,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85" w:lineRule="exact"/>
        <w:rPr>
          <w:sz w:val="20"/>
          <w:szCs w:val="20"/>
          <w:color w:val="auto"/>
        </w:rPr>
      </w:pPr>
    </w:p>
    <w:p>
      <w:pPr>
        <w:ind w:right="60" w:firstLine="490"/>
        <w:spacing w:after="0" w:line="235" w:lineRule="auto"/>
        <w:rPr>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ectPr>
          <w:pgSz w:w="12240" w:h="15840" w:orient="portrait"/>
          <w:cols w:equalWidth="0" w:num="1">
            <w:col w:w="10160"/>
          </w:cols>
          <w:pgMar w:left="1080" w:top="1060" w:right="1000" w:bottom="175"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160"/>
          </w:cols>
          <w:pgMar w:left="1080" w:top="1060" w:right="1000" w:bottom="175" w:gutter="0" w:footer="0" w:header="0"/>
          <w:type w:val="continuous"/>
        </w:sectPr>
      </w:pPr>
    </w:p>
    <w:bookmarkStart w:id="24" w:name="page25"/>
    <w:bookmarkEnd w:id="24"/>
    <w:p>
      <w:pPr>
        <w:ind w:right="80" w:firstLine="490"/>
        <w:spacing w:after="0" w:line="234" w:lineRule="auto"/>
        <w:rPr>
          <w:sz w:val="20"/>
          <w:szCs w:val="20"/>
          <w:color w:val="auto"/>
        </w:rPr>
      </w:pPr>
      <w:r>
        <w:rPr>
          <w:rFonts w:ascii="Times New Roman" w:cs="Times New Roman" w:eastAsia="Times New Roman" w:hAnsi="Times New Roman"/>
          <w:sz w:val="20"/>
          <w:szCs w:val="20"/>
          <w:color w:val="auto"/>
        </w:rPr>
        <w:t>Many states have similar laws and regulations that may differ from federal law in significant ways, thus complicating compliance efforts. For example, states have anti-kickback and false claims laws that may be broader in scope than analogous federal laws and may apply regardless of payor. In addition, the federal physician payment transparency requirements, sometimes referred to as the “Physician Payments Sunshine Act,” created under the ACA and its implementing regulations, require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71" w:lineRule="exact"/>
        <w:rPr>
          <w:sz w:val="20"/>
          <w:szCs w:val="20"/>
          <w:color w:val="auto"/>
        </w:rPr>
      </w:pPr>
    </w:p>
    <w:p>
      <w:pPr>
        <w:ind w:right="20" w:firstLine="490"/>
        <w:spacing w:after="0" w:line="226" w:lineRule="auto"/>
        <w:rPr>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or HITECH, and their respective implementing regulations,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such individually identifiable health information. In addition, state data privacy laws that protect the security of health information may differ from each other and may not be preempted by federal law.</w:t>
      </w:r>
    </w:p>
    <w:p>
      <w:pPr>
        <w:spacing w:after="0" w:line="63" w:lineRule="exact"/>
        <w:rPr>
          <w:sz w:val="20"/>
          <w:szCs w:val="20"/>
          <w:color w:val="auto"/>
        </w:rPr>
      </w:pPr>
    </w:p>
    <w:p>
      <w:pPr>
        <w:ind w:right="180" w:firstLine="490"/>
        <w:spacing w:after="0" w:line="226" w:lineRule="auto"/>
        <w:rPr>
          <w:sz w:val="20"/>
          <w:szCs w:val="20"/>
          <w:color w:val="auto"/>
        </w:rPr>
      </w:pPr>
      <w:r>
        <w:rPr>
          <w:rFonts w:ascii="Times New Roman" w:cs="Times New Roman" w:eastAsia="Times New Roman" w:hAnsi="Times New Roman"/>
          <w:sz w:val="20"/>
          <w:szCs w:val="20"/>
          <w:color w:val="auto"/>
        </w:rPr>
        <w:t>Moreover, several states and local jurisdictions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certain regulatory licenses to manufacture or distribute products commercially and/or the registration of sales representatives, and prohibit certain other sales and marketing practices. In addition, the approval and commercialization of any of our product candidates outside the United States will also likely subject us to foreign equivalents of the healthcare laws mentioned above.</w:t>
      </w:r>
    </w:p>
    <w:p>
      <w:pPr>
        <w:spacing w:after="0" w:line="63" w:lineRule="exact"/>
        <w:rPr>
          <w:sz w:val="20"/>
          <w:szCs w:val="20"/>
          <w:color w:val="auto"/>
        </w:rPr>
      </w:pPr>
    </w:p>
    <w:p>
      <w:pPr>
        <w:ind w:right="200" w:firstLine="490"/>
        <w:spacing w:after="0" w:line="226" w:lineRule="auto"/>
        <w:rPr>
          <w:sz w:val="20"/>
          <w:szCs w:val="20"/>
          <w:color w:val="auto"/>
        </w:rPr>
      </w:pPr>
      <w:r>
        <w:rPr>
          <w:rFonts w:ascii="Times New Roman" w:cs="Times New Roman" w:eastAsia="Times New Roman" w:hAnsi="Times New Roman"/>
          <w:sz w:val="20"/>
          <w:szCs w:val="20"/>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63" w:lineRule="exact"/>
        <w:rPr>
          <w:sz w:val="20"/>
          <w:szCs w:val="20"/>
          <w:color w:val="auto"/>
        </w:rPr>
      </w:pPr>
    </w:p>
    <w:p>
      <w:pPr>
        <w:ind w:right="260" w:firstLine="490"/>
        <w:spacing w:after="0" w:line="236" w:lineRule="auto"/>
        <w:rPr>
          <w:sz w:val="20"/>
          <w:szCs w:val="20"/>
          <w:color w:val="auto"/>
        </w:rPr>
      </w:pPr>
      <w:r>
        <w:rPr>
          <w:rFonts w:ascii="Times New Roman" w:cs="Times New Roman" w:eastAsia="Times New Roman" w:hAnsi="Times New Roman"/>
          <w:sz w:val="20"/>
          <w:szCs w:val="20"/>
          <w:color w:val="auto"/>
        </w:rPr>
        <w:t>The manufacturing and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63" w:lineRule="exact"/>
        <w:rPr>
          <w:sz w:val="20"/>
          <w:szCs w:val="20"/>
          <w:color w:val="auto"/>
        </w:rPr>
      </w:pPr>
    </w:p>
    <w:p>
      <w:pPr>
        <w:ind w:firstLine="490"/>
        <w:spacing w:after="0" w:line="228" w:lineRule="auto"/>
        <w:rPr>
          <w:sz w:val="20"/>
          <w:szCs w:val="20"/>
          <w:color w:val="auto"/>
        </w:rPr>
      </w:pPr>
      <w:r>
        <w:rPr>
          <w:rFonts w:ascii="Times New Roman" w:cs="Times New Roman" w:eastAsia="Times New Roman" w:hAnsi="Times New Roman"/>
          <w:sz w:val="20"/>
          <w:szCs w:val="20"/>
          <w:color w:val="auto"/>
        </w:rPr>
        <w:t>Failure to maintain compliance with these healthcare laws could result in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w:t>
      </w:r>
    </w:p>
    <w:p>
      <w:pPr>
        <w:spacing w:after="0" w:line="97" w:lineRule="exact"/>
        <w:rPr>
          <w:sz w:val="20"/>
          <w:szCs w:val="20"/>
          <w:color w:val="auto"/>
        </w:rPr>
      </w:pPr>
    </w:p>
    <w:p>
      <w:pPr>
        <w:ind w:right="20" w:firstLine="490"/>
        <w:spacing w:after="0" w:line="231" w:lineRule="auto"/>
        <w:rPr>
          <w:sz w:val="20"/>
          <w:szCs w:val="20"/>
          <w:color w:val="auto"/>
        </w:rPr>
      </w:pPr>
      <w:r>
        <w:rPr>
          <w:rFonts w:ascii="Times New Roman" w:cs="Times New Roman" w:eastAsia="Times New Roman" w:hAnsi="Times New Roman"/>
          <w:sz w:val="20"/>
          <w:szCs w:val="20"/>
          <w:color w:val="auto"/>
        </w:rPr>
        <w:t>Data privacy and security laws in the U.S. are also increasingly complex and changing rapidly. Numerous U.S. states have enacted comprehensive privacy laws that impose certain obligations on covered businesses, including providing specific disclosures in privacy notices and affording residents with certain rights concerning their personal data. These state laws allow for statutory fines for noncompliance.</w:t>
      </w:r>
    </w:p>
    <w:p>
      <w:pPr>
        <w:spacing w:after="0" w:line="63" w:lineRule="exact"/>
        <w:rPr>
          <w:sz w:val="20"/>
          <w:szCs w:val="20"/>
          <w:color w:val="auto"/>
        </w:rPr>
      </w:pPr>
    </w:p>
    <w:p>
      <w:pPr>
        <w:ind w:right="40" w:firstLine="490"/>
        <w:spacing w:after="0" w:line="222" w:lineRule="auto"/>
        <w:rPr>
          <w:sz w:val="20"/>
          <w:szCs w:val="20"/>
          <w:color w:val="auto"/>
        </w:rPr>
      </w:pPr>
      <w:r>
        <w:rPr>
          <w:rFonts w:ascii="Times New Roman" w:cs="Times New Roman" w:eastAsia="Times New Roman" w:hAnsi="Times New Roman"/>
          <w:sz w:val="20"/>
          <w:szCs w:val="20"/>
          <w:color w:val="auto"/>
        </w:rPr>
        <w:t>In addition, the processing of personal data in connection with clinical trials in the EU must comply with the EU’s General Data Protection Regulation, or EU GDPR. The EU GDPR imposes stringent data protection requirements and provides for penalties for noncompliance that can include bans on processing personal data and fines of up to the greater of 20 million euros or four percent of worldwide annual revenues. The EU GDPR requires organizations to give detailed disclosures about how they collect, use and share personal data; under certain conditions, obtain explicit consent to process sensitive personal data,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afford individuals’ data protection rights, including their rights to access, correct and delete their personal data.</w:t>
      </w:r>
    </w:p>
    <w:p>
      <w:pPr>
        <w:spacing w:after="0" w:line="68" w:lineRule="exact"/>
        <w:rPr>
          <w:sz w:val="20"/>
          <w:szCs w:val="20"/>
          <w:color w:val="auto"/>
        </w:rPr>
      </w:pPr>
    </w:p>
    <w:p>
      <w:pPr>
        <w:ind w:right="80" w:firstLine="490"/>
        <w:spacing w:after="0" w:line="231" w:lineRule="auto"/>
        <w:rPr>
          <w:sz w:val="20"/>
          <w:szCs w:val="20"/>
          <w:color w:val="auto"/>
        </w:rPr>
      </w:pPr>
      <w:r>
        <w:rPr>
          <w:rFonts w:ascii="Times New Roman" w:cs="Times New Roman" w:eastAsia="Times New Roman" w:hAnsi="Times New Roman"/>
          <w:sz w:val="20"/>
          <w:szCs w:val="20"/>
          <w:color w:val="auto"/>
        </w:rPr>
        <w:t>European data protection laws generally restrict the transfer of personal data from Europe, including from the European Economic Area, or EEA, the United Kingdom and Switzerland, to the U.S. and most other countries unless the parties to the transfer have implemented specific safeguards to protect the transferred personal data. Legal challenges have in the past and may in the future be successful in limiting the mechanisms available to transfer personal data across national borders.</w:t>
      </w:r>
    </w:p>
    <w:p>
      <w:pPr>
        <w:sectPr>
          <w:pgSz w:w="12240" w:h="15840" w:orient="portrait"/>
          <w:cols w:equalWidth="0" w:num="1">
            <w:col w:w="10160"/>
          </w:cols>
          <w:pgMar w:left="1080" w:top="1052"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160"/>
          </w:cols>
          <w:pgMar w:left="1080" w:top="1052" w:right="1000" w:bottom="175" w:gutter="0" w:footer="0" w:header="0"/>
          <w:type w:val="continuous"/>
        </w:sectPr>
      </w:pPr>
    </w:p>
    <w:bookmarkStart w:id="25" w:name="page26"/>
    <w:bookmarkEnd w:id="25"/>
    <w:p>
      <w:pPr>
        <w:ind w:right="60" w:firstLine="490"/>
        <w:spacing w:after="0" w:line="228" w:lineRule="auto"/>
        <w:rPr>
          <w:sz w:val="20"/>
          <w:szCs w:val="20"/>
          <w:color w:val="auto"/>
        </w:rPr>
      </w:pPr>
      <w:r>
        <w:rPr>
          <w:rFonts w:ascii="Times New Roman" w:cs="Times New Roman" w:eastAsia="Times New Roman" w:hAnsi="Times New Roman"/>
          <w:sz w:val="20"/>
          <w:szCs w:val="20"/>
          <w:color w:val="auto"/>
        </w:rPr>
        <w:t>The failure to address or comply with applicable data privacy and security obligations could result in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and orders to destroy or not use personal data. Any of these events could have a material adverse effect on our reputation, business,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Health Care Reform</w:t>
      </w:r>
    </w:p>
    <w:p>
      <w:pPr>
        <w:spacing w:after="0" w:line="97" w:lineRule="exact"/>
        <w:rPr>
          <w:sz w:val="20"/>
          <w:szCs w:val="20"/>
          <w:color w:val="auto"/>
        </w:rPr>
      </w:pPr>
    </w:p>
    <w:p>
      <w:pPr>
        <w:ind w:firstLine="490"/>
        <w:spacing w:after="0" w:line="217" w:lineRule="auto"/>
        <w:rPr>
          <w:sz w:val="20"/>
          <w:szCs w:val="20"/>
          <w:color w:val="auto"/>
        </w:rPr>
      </w:pPr>
      <w:r>
        <w:rPr>
          <w:rFonts w:ascii="Times New Roman" w:cs="Times New Roman" w:eastAsia="Times New Roman" w:hAnsi="Times New Roman"/>
          <w:sz w:val="20"/>
          <w:szCs w:val="20"/>
          <w:color w:val="auto"/>
        </w:rPr>
        <w:t>In the United States and other jurisdictions, there have been, and we expect there will continue to be, a number of legislative and regulatory changes and proposed changes to the healthcare system that could affect our future financial results or operations. In particular, there have been and continue to be a number of initiatives at the U.S. federal and state levels that seek to reduce healthcare costs and improve the quality of healthcare. The ACA was enacted in 2010 and since its enactment, there have been amendments and judicial, Congressional and executive branch challenges to certain aspects.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also considering proposed legislation intended to further reduce healthcare costs with alternatives to replace the expired ACA subsidies. 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include (1) directing agencies to reduce agency workforce and cut programs; (2) directing HHS and other agencies to lower prescription drug costs through a variety of initiatives; (3) imposing tariffs on imported pharmaceutical products; and</w:t>
      </w:r>
    </w:p>
    <w:p>
      <w:pPr>
        <w:spacing w:after="0" w:line="9" w:lineRule="exact"/>
        <w:rPr>
          <w:sz w:val="20"/>
          <w:szCs w:val="20"/>
          <w:color w:val="auto"/>
        </w:rPr>
      </w:pPr>
    </w:p>
    <w:p>
      <w:pPr>
        <w:ind w:right="100"/>
        <w:spacing w:after="0" w:line="220" w:lineRule="auto"/>
        <w:tabs>
          <w:tab w:leader="none" w:pos="28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are intended to significantly reduce U.S. drug prices, potentially impacting manufacturers’ global pricing strategies and profitability, while increasing their operational costs and compliance risks.</w:t>
      </w:r>
    </w:p>
    <w:p>
      <w:pPr>
        <w:spacing w:after="0" w:line="61"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Patent-Term Restoration and Marketing Exclusivity</w:t>
      </w:r>
    </w:p>
    <w:p>
      <w:pPr>
        <w:spacing w:after="0" w:line="97" w:lineRule="exact"/>
        <w:rPr>
          <w:sz w:val="20"/>
          <w:szCs w:val="20"/>
          <w:color w:val="auto"/>
        </w:rPr>
      </w:pPr>
    </w:p>
    <w:p>
      <w:pPr>
        <w:ind w:firstLine="490"/>
        <w:spacing w:after="0" w:line="220" w:lineRule="auto"/>
        <w:rPr>
          <w:sz w:val="20"/>
          <w:szCs w:val="20"/>
          <w:color w:val="auto"/>
        </w:rPr>
      </w:pPr>
      <w:r>
        <w:rPr>
          <w:rFonts w:ascii="Times New Roman" w:cs="Times New Roman" w:eastAsia="Times New Roman" w:hAnsi="Times New Roman"/>
          <w:sz w:val="20"/>
          <w:szCs w:val="20"/>
          <w:color w:val="auto"/>
        </w:rPr>
        <w:t>Depending upon the timing, duration and specifics of FDA approval of any future product candidates, some of our U.S. patents may be eligible for limited patent term extension under the Drug Price Competition and Patent Term Restoration Act of 1984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70" w:lineRule="exact"/>
        <w:rPr>
          <w:sz w:val="20"/>
          <w:szCs w:val="20"/>
          <w:color w:val="auto"/>
        </w:rPr>
      </w:pPr>
    </w:p>
    <w:p>
      <w:pPr>
        <w:ind w:right="20" w:firstLine="490"/>
        <w:spacing w:after="0" w:line="235" w:lineRule="auto"/>
        <w:rPr>
          <w:sz w:val="20"/>
          <w:szCs w:val="20"/>
          <w:color w:val="auto"/>
        </w:rPr>
      </w:pPr>
      <w:r>
        <w:rPr>
          <w:rFonts w:ascii="Times New Roman" w:cs="Times New Roman" w:eastAsia="Times New Roman" w:hAnsi="Times New Roman"/>
          <w:sz w:val="19"/>
          <w:szCs w:val="19"/>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w:t>
      </w:r>
    </w:p>
    <w:p>
      <w:pPr>
        <w:sectPr>
          <w:pgSz w:w="12240" w:h="15840" w:orient="portrait"/>
          <w:cols w:equalWidth="0" w:num="1">
            <w:col w:w="10140"/>
          </w:cols>
          <w:pgMar w:left="1080" w:top="1041" w:right="1020" w:bottom="175"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140"/>
          </w:cols>
          <w:pgMar w:left="1080" w:top="1041" w:right="1020" w:bottom="175" w:gutter="0" w:footer="0" w:header="0"/>
          <w:type w:val="continuous"/>
        </w:sectPr>
      </w:pPr>
    </w:p>
    <w:bookmarkStart w:id="26" w:name="page27"/>
    <w:bookmarkEnd w:id="26"/>
    <w:p>
      <w:pPr>
        <w:spacing w:after="0" w:line="224" w:lineRule="auto"/>
        <w:rPr>
          <w:sz w:val="20"/>
          <w:szCs w:val="20"/>
          <w:color w:val="auto"/>
        </w:rPr>
      </w:pPr>
      <w:r>
        <w:rPr>
          <w:rFonts w:ascii="Times New Roman" w:cs="Times New Roman" w:eastAsia="Times New Roman" w:hAnsi="Times New Roman"/>
          <w:sz w:val="20"/>
          <w:szCs w:val="20"/>
          <w:color w:val="auto"/>
        </w:rPr>
        <w:t>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 -year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66" w:lineRule="exact"/>
        <w:rPr>
          <w:sz w:val="20"/>
          <w:szCs w:val="20"/>
          <w:color w:val="auto"/>
        </w:rPr>
      </w:pPr>
    </w:p>
    <w:p>
      <w:pPr>
        <w:ind w:right="40" w:firstLine="490"/>
        <w:spacing w:after="0" w:line="220" w:lineRule="auto"/>
        <w:rPr>
          <w:sz w:val="20"/>
          <w:szCs w:val="20"/>
          <w:color w:val="auto"/>
        </w:rPr>
      </w:pPr>
      <w:r>
        <w:rPr>
          <w:rFonts w:ascii="Times New Roman" w:cs="Times New Roman" w:eastAsia="Times New Roman" w:hAnsi="Times New Roman"/>
          <w:sz w:val="20"/>
          <w:szCs w:val="20"/>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Drug Development</w:t>
      </w:r>
    </w:p>
    <w:p>
      <w:pPr>
        <w:spacing w:after="0" w:line="97" w:lineRule="exact"/>
        <w:rPr>
          <w:sz w:val="20"/>
          <w:szCs w:val="20"/>
          <w:color w:val="auto"/>
        </w:rPr>
      </w:pPr>
    </w:p>
    <w:p>
      <w:pPr>
        <w:ind w:right="520" w:firstLine="490"/>
        <w:spacing w:after="0" w:line="253" w:lineRule="auto"/>
        <w:rPr>
          <w:sz w:val="20"/>
          <w:szCs w:val="20"/>
          <w:color w:val="auto"/>
        </w:rPr>
      </w:pPr>
      <w:r>
        <w:rPr>
          <w:rFonts w:ascii="Times New Roman" w:cs="Times New Roman" w:eastAsia="Times New Roman" w:hAnsi="Times New Roman"/>
          <w:sz w:val="20"/>
          <w:szCs w:val="20"/>
          <w:color w:val="auto"/>
        </w:rPr>
        <w:t>As in the United States, medicinal products can be marketed only if a marketing authorization from the competent regulatory agencies has been obtained.</w:t>
      </w:r>
    </w:p>
    <w:p>
      <w:pPr>
        <w:spacing w:after="0" w:line="49" w:lineRule="exact"/>
        <w:rPr>
          <w:sz w:val="20"/>
          <w:szCs w:val="20"/>
          <w:color w:val="auto"/>
        </w:rPr>
      </w:pPr>
    </w:p>
    <w:p>
      <w:pPr>
        <w:ind w:firstLine="490"/>
        <w:spacing w:after="0" w:line="222" w:lineRule="auto"/>
        <w:rPr>
          <w:sz w:val="20"/>
          <w:szCs w:val="20"/>
          <w:color w:val="auto"/>
        </w:rPr>
      </w:pPr>
      <w:r>
        <w:rPr>
          <w:rFonts w:ascii="Times New Roman" w:cs="Times New Roman" w:eastAsia="Times New Roman" w:hAnsi="Times New Roman"/>
          <w:sz w:val="20"/>
          <w:szCs w:val="20"/>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68" w:lineRule="exact"/>
        <w:rPr>
          <w:sz w:val="20"/>
          <w:szCs w:val="20"/>
          <w:color w:val="auto"/>
        </w:rPr>
      </w:pPr>
    </w:p>
    <w:p>
      <w:pPr>
        <w:ind w:firstLine="490"/>
        <w:spacing w:after="0" w:line="228" w:lineRule="auto"/>
        <w:rPr>
          <w:sz w:val="20"/>
          <w:szCs w:val="20"/>
          <w:color w:val="auto"/>
        </w:rPr>
      </w:pPr>
      <w:r>
        <w:rPr>
          <w:rFonts w:ascii="Times New Roman" w:cs="Times New Roman" w:eastAsia="Times New Roman" w:hAnsi="Times New Roman"/>
          <w:sz w:val="20"/>
          <w:szCs w:val="20"/>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Drug Review and Approval</w:t>
      </w:r>
    </w:p>
    <w:p>
      <w:pPr>
        <w:spacing w:after="0" w:line="101" w:lineRule="exact"/>
        <w:rPr>
          <w:sz w:val="20"/>
          <w:szCs w:val="20"/>
          <w:color w:val="auto"/>
        </w:rPr>
      </w:pPr>
    </w:p>
    <w:p>
      <w:pPr>
        <w:ind w:right="460" w:firstLine="490"/>
        <w:spacing w:after="0" w:line="239" w:lineRule="auto"/>
        <w:rPr>
          <w:sz w:val="20"/>
          <w:szCs w:val="20"/>
          <w:color w:val="auto"/>
        </w:rPr>
      </w:pPr>
      <w:r>
        <w:rPr>
          <w:rFonts w:ascii="Times New Roman" w:cs="Times New Roman" w:eastAsia="Times New Roman" w:hAnsi="Times New Roman"/>
          <w:sz w:val="20"/>
          <w:szCs w:val="20"/>
          <w:color w:val="auto"/>
        </w:rPr>
        <w:t>In the EEA, which is comprised of the 27 Member States of the European Union (including Norway and excluding Croatia), Iceland and Liechtenstein, medicinal products can only be commercialized after obtaining a Marketing Authorization, or MA. There are two types of marketing authorizations.</w:t>
      </w:r>
    </w:p>
    <w:p>
      <w:pPr>
        <w:spacing w:after="0" w:line="98" w:lineRule="exact"/>
        <w:rPr>
          <w:sz w:val="20"/>
          <w:szCs w:val="20"/>
          <w:color w:val="auto"/>
        </w:rPr>
      </w:pPr>
    </w:p>
    <w:p>
      <w:pPr>
        <w:ind w:left="720" w:hanging="360"/>
        <w:spacing w:after="0" w:line="244"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ectPr>
          <w:pgSz w:w="12240" w:h="15840" w:orient="portrait"/>
          <w:cols w:equalWidth="0" w:num="1">
            <w:col w:w="10140"/>
          </w:cols>
          <w:pgMar w:left="1080" w:top="1041"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140"/>
          </w:cols>
          <w:pgMar w:left="1080" w:top="1041" w:right="1020" w:bottom="175" w:gutter="0" w:footer="0" w:header="0"/>
          <w:type w:val="continuous"/>
        </w:sectPr>
      </w:pPr>
    </w:p>
    <w:bookmarkStart w:id="27" w:name="page28"/>
    <w:bookmarkEnd w:id="27"/>
    <w:p>
      <w:pPr>
        <w:ind w:left="720" w:right="140" w:hanging="360"/>
        <w:spacing w:after="0" w:line="243"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in the RMS and the Member States Concerned).</w:t>
      </w:r>
    </w:p>
    <w:p>
      <w:pPr>
        <w:spacing w:after="0" w:line="82"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could require us to provide scientific and clinical support for the use of our products to each payor separately, with no assurance that coverage and adequate reimbursement will be obtained. Coverage policies and third- party reimbursement rates may change at any time. Therefore, even if favorable coverage and reimbursement status is attained for one or more products for which we receive regulatory approval, less favorable coverage policies and reimbursement rates may be implemented in the future.</w:t>
      </w:r>
    </w:p>
    <w:p>
      <w:pPr>
        <w:spacing w:after="0" w:line="8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Adoption of general controls and measures, coupled with the tightening of restrictive policies in jurisdictions with existing controls and measures, could limit payments for pharmaceutical drugs.</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ectPr>
          <w:pgSz w:w="12240" w:h="15840" w:orient="portrait"/>
          <w:cols w:equalWidth="0" w:num="1">
            <w:col w:w="10160"/>
          </w:cols>
          <w:pgMar w:left="1080" w:top="1074"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160"/>
          </w:cols>
          <w:pgMar w:left="1080" w:top="1074" w:right="1000" w:bottom="175"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w:t>
      </w:r>
    </w:p>
    <w:p>
      <w:pPr>
        <w:spacing w:after="0" w:line="8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We have prosecuted numerous patents and patent applications and possess know-how and trade secrets relating to the development and commercialization of our ABC Platform, tarcocimab, KSI-501 or KSI-101, including related manufacturing processes and technology. As of December 31, 2025, we were the assignee of record for approximately 15 U.S. issued patents, and the applicant for approximately 20 U.S. pending patent applications and seven pending PCT applications directed to certain of our proprietary technology, inventions, and improvements and our most advanced product candidates. In addition, 54 patents are issued in jurisdictions outside of the United States and 88 patent applications are pending in jurisdictions outside of the United States, including Australia, Brazil, Canada, China, Europe, Hong Kong, India, Israel, Japan, Mexico, Macau, New Zealand, Singapore, South Africa and South Korea. In many cases, these patents and patent applications in jurisdictions outside of the United States are counterparts to the foregoing U.S. patents and patent applications. For example, these patents and patent applications include claims directed to:</w:t>
      </w:r>
    </w:p>
    <w:p>
      <w:pPr>
        <w:spacing w:after="0" w:line="96" w:lineRule="exact"/>
        <w:rPr>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therapeutic proteins and biologically active agents conjugated to a biopolymer;</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specific therapeutics; and</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components of our therapeutics.</w:t>
      </w:r>
    </w:p>
    <w:p>
      <w:pPr>
        <w:spacing w:after="0" w:line="119"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auto"/>
        </w:rPr>
        <w:t>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w:t>
      </w:r>
    </w:p>
    <w:p>
      <w:pPr>
        <w:spacing w:after="0" w:line="6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8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Our issued U.S. patents will expire on dates ranging from 2027 to 2040. If patents are issued on our pending patent applications, the resulting patents are projected to expire on dates ranging from 2030 to 2045.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As of December 31, 2025, we have a total of 36 pending trademark applications and issued trademark registrations. These include four trademark registrations and four pending trademark applications in the United States, and 27 trademark registrations and one pending trademark application in jurisdictions outside of the United States. Of the trademark registrations in jurisdictions outside of the United States, 17 are in China, two are in each of the European Union, Japan and the United Kingdom, and one is in each of Canada, India, Singapore and Switzerland. The pending trademark application in a jurisdiction outside of the United States is in Canada.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w:t>
      </w:r>
    </w:p>
    <w:p>
      <w:pPr>
        <w:sectPr>
          <w:pgSz w:w="12240" w:h="15840" w:orient="portrait"/>
          <w:cols w:equalWidth="0" w:num="1">
            <w:col w:w="10160"/>
          </w:cols>
          <w:pgMar w:left="1080" w:top="1056" w:right="1000" w:bottom="175"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160"/>
          </w:cols>
          <w:pgMar w:left="1080" w:top="1056" w:right="1000" w:bottom="175" w:gutter="0" w:footer="0" w:header="0"/>
          <w:type w:val="continuous"/>
        </w:sectPr>
      </w:pPr>
    </w:p>
    <w:bookmarkStart w:id="29" w:name="page30"/>
    <w:bookmarkEnd w:id="29"/>
    <w:p>
      <w:pPr>
        <w:spacing w:after="0" w:line="249" w:lineRule="auto"/>
        <w:rPr>
          <w:sz w:val="20"/>
          <w:szCs w:val="20"/>
          <w:color w:val="auto"/>
        </w:rPr>
      </w:pPr>
      <w:r>
        <w:rPr>
          <w:rFonts w:ascii="Times New Roman" w:cs="Times New Roman" w:eastAsia="Times New Roman" w:hAnsi="Times New Roman"/>
          <w:sz w:val="20"/>
          <w:szCs w:val="20"/>
          <w:color w:val="auto"/>
        </w:rPr>
        <w:t>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refer to the section on “Part I, Item 1A — Risk Factors—Risks Related to Our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12" w:lineRule="exact"/>
        <w:rPr>
          <w:sz w:val="20"/>
          <w:szCs w:val="20"/>
          <w:color w:val="auto"/>
        </w:rPr>
      </w:pPr>
    </w:p>
    <w:p>
      <w:pPr>
        <w:ind w:right="100" w:firstLine="490"/>
        <w:spacing w:after="0" w:line="235" w:lineRule="auto"/>
        <w:rPr>
          <w:sz w:val="20"/>
          <w:szCs w:val="20"/>
          <w:color w:val="auto"/>
        </w:rPr>
      </w:pPr>
      <w:r>
        <w:rPr>
          <w:rFonts w:ascii="Times New Roman" w:cs="Times New Roman" w:eastAsia="Times New Roman" w:hAnsi="Times New Roman"/>
          <w:sz w:val="20"/>
          <w:szCs w:val="20"/>
          <w:color w:val="auto"/>
        </w:rPr>
        <w:t>As of December 31, 2025, we had 124 employees worldwide, of whom 10 were based outside of the United States. Of our employees, 36 hold a Ph.D. or M.D. (or equivalent) degree. None of our employees is subject to a collective bargaining agreement. We continually assess employee turnover, recruitment initiatives, compensation and benefits programs, safety in performing critical laboratory work and other matters relevant to human capital management, and we review results with our Board of Directors on a periodic basis. We aim to offer competitive compensation (including salary, incentive bonus, and equity) and benefits packages in each of our locations and in each of employee groups at each level around the globe as assessed with internal and external benchmarking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15"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auto"/>
        </w:rPr>
        <w:t>We were organized in June 2009 in Delaware as a limited liability company. In September 2015, we converted to a Delaware corporation and, in connection with the conversion, changed our name to "Kodiak Sciences Inc." Our principal executive office is located at 1250 Page Mill Road, Palo Alto, California 94304. Our telephone number is (650) 281-0850.</w:t>
      </w:r>
    </w:p>
    <w:p>
      <w:pPr>
        <w:spacing w:after="0" w:line="68" w:lineRule="exact"/>
        <w:rPr>
          <w:sz w:val="20"/>
          <w:szCs w:val="20"/>
          <w:color w:val="auto"/>
        </w:rPr>
      </w:pPr>
    </w:p>
    <w:p>
      <w:pPr>
        <w:ind w:right="400" w:firstLine="490"/>
        <w:spacing w:after="0" w:line="246" w:lineRule="auto"/>
        <w:rPr>
          <w:sz w:val="20"/>
          <w:szCs w:val="20"/>
          <w:color w:val="auto"/>
        </w:rPr>
      </w:pPr>
      <w:r>
        <w:rPr>
          <w:rFonts w:ascii="Times New Roman" w:cs="Times New Roman" w:eastAsia="Times New Roman" w:hAnsi="Times New Roman"/>
          <w:sz w:val="20"/>
          <w:szCs w:val="20"/>
          <w:color w:val="auto"/>
        </w:rPr>
        <w:t>We maintain an internet website at the following address: www.kodiak.com. The information on our website is not incorporated by reference in this Annual Report on Form 10-K or in any other filings we make with the Securities and Exchange Commission, or SEC.</w:t>
      </w:r>
    </w:p>
    <w:p>
      <w:pPr>
        <w:spacing w:after="0" w:line="68"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auto"/>
        </w:rPr>
        <w:t>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w:t>
      </w:r>
    </w:p>
    <w:p>
      <w:pPr>
        <w:sectPr>
          <w:pgSz w:w="12240" w:h="15840" w:orient="portrait"/>
          <w:cols w:equalWidth="0" w:num="1">
            <w:col w:w="10100"/>
          </w:cols>
          <w:pgMar w:left="1080" w:top="1060" w:right="10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100"/>
          </w:cols>
          <w:pgMar w:left="1080" w:top="1060" w:right="1060" w:bottom="175"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4"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19"/>
          <w:szCs w:val="19"/>
          <w:color w:val="auto"/>
        </w:rPr>
        <w:t>You should consider carefully the following risk factors, together with all the other information in this report, including the section of this report titled “Part II, Item 7 — Management’s Discussion and Analysis of Financial Condition and Results of Operations” and our consolidated financial statements and notes thereto. The occurrence of any events described in the following risk factors and the risks described elsewhere in this report could harm our business, operating results, financial condition or growth prospects or cause our actual results to differ materially from those contained in forward- looking statements that we have made in this report and that we may make from time to time. You should consider all of the risk factors described when evaluating our business. The risks described below are not intended to be exhaustive and are not the only risks that we face. New risk factors can emerge from time to time, and it is not possible to predict the impact that any factor or combination of factors may have on our business, operating results, financial condition, and/or growth prospects.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Development and Commercialization of Our Product Candidates</w:t>
      </w:r>
    </w:p>
    <w:p>
      <w:pPr>
        <w:spacing w:after="0" w:line="114"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9"/>
          <w:szCs w:val="19"/>
          <w:b w:val="1"/>
          <w:bCs w:val="1"/>
          <w:i w:val="1"/>
          <w:iCs w:val="1"/>
          <w:color w:val="auto"/>
        </w:rPr>
        <w:t>We are in the clinical stage of drug development and have a limited operating history and no products approved for commercial sale, which may make it difficult to evaluate our current business and predict our future success and viability.</w:t>
      </w:r>
    </w:p>
    <w:p>
      <w:pPr>
        <w:spacing w:after="0" w:line="33"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We completed enrollment for the Phase 3 DAYBREAK clinical trial of tarcocimab and KSI-501 in patients with wet AMD. We are continuing enrollment for the on-going Phase 3 PEAK and PINNACLE clinical trials of KSI-101 in patients with MESI.</w:t>
      </w:r>
    </w:p>
    <w:p>
      <w:pPr>
        <w:spacing w:after="0" w:line="8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To date, we have not obtained marketing approval for any of our product candidates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w:t>
      </w:r>
    </w:p>
    <w:p>
      <w:pPr>
        <w:spacing w:after="0" w:line="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prospects are heavily dependent on our ability to successfully develop, obtain regulatory approval for and successfully commercialize tarcocimab, KSI-501 and KSI-101, our product candidates, which are currently in clinical development for multiple indications.</w:t>
      </w:r>
    </w:p>
    <w:p>
      <w:pPr>
        <w:spacing w:after="0" w:line="6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Our prospects are heavily dependent on our ability to successfully develop, obtain regulatory approval for and successfully commercialize tarcocimab, KSI-501 and KSI-101, our product candidates. We cannot be certain that our product candidates will be successful in any of the planned or pending clinical trials.</w:t>
      </w:r>
    </w:p>
    <w:p>
      <w:pPr>
        <w:spacing w:after="0" w:line="6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Our previous clinical trial results are not necessarily predictive of the results of our on-going or future discovery programs or any future preclinical or clinical studies. Our ability to demonstrate efficacy, safety and/or clinical durability in pivotal studies may be affected by the patient populations sampled and the design of our pivotal studies. Many companies in the pharmaceutical and biotechnology industries have suffered significant setbacks in late -stage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spacing w:after="0" w:line="82"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spacing w:after="0" w:line="57" w:lineRule="exact"/>
        <w:rPr>
          <w:sz w:val="20"/>
          <w:szCs w:val="20"/>
          <w:color w:val="auto"/>
        </w:rPr>
      </w:pPr>
    </w:p>
    <w:p>
      <w:pPr>
        <w:ind w:right="40" w:firstLine="490"/>
        <w:spacing w:after="0" w:line="230" w:lineRule="auto"/>
        <w:rPr>
          <w:sz w:val="20"/>
          <w:szCs w:val="20"/>
          <w:color w:val="auto"/>
        </w:rPr>
      </w:pPr>
      <w:r>
        <w:rPr>
          <w:rFonts w:ascii="Times New Roman" w:cs="Times New Roman" w:eastAsia="Times New Roman" w:hAnsi="Times New Roman"/>
          <w:sz w:val="20"/>
          <w:szCs w:val="20"/>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We have never submitted a BLA, and even if GLOW1, GLOW2, BEACON, DAYLIGHT or DAYBREAK clinical data support submission of a tarcocimab BLA to the FDA in 2026, we may need to delay submission which would delay review and potential approval. If approved, clinical study designs and data are not necessarily predictive of the final marketed product label. FDA may not approve a label for a particular dosing frequency, even if we believe the data demonstrate support for that dosing. For example, our DAYBREAK trial uses an AI-based tool to</w:t>
      </w:r>
    </w:p>
    <w:p>
      <w:pPr>
        <w:sectPr>
          <w:pgSz w:w="12240" w:h="15840" w:orient="portrait"/>
          <w:cols w:equalWidth="0" w:num="1">
            <w:col w:w="10140"/>
          </w:cols>
          <w:pgMar w:left="1080" w:top="1056" w:right="1020" w:bottom="175"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140"/>
          </w:cols>
          <w:pgMar w:left="1080" w:top="1056" w:right="1020" w:bottom="175" w:gutter="0" w:footer="0" w:header="0"/>
          <w:type w:val="continuous"/>
        </w:sectPr>
      </w:pPr>
    </w:p>
    <w:bookmarkStart w:id="31" w:name="page32"/>
    <w:bookmarkEnd w:id="31"/>
    <w:p>
      <w:pPr>
        <w:ind w:right="180"/>
        <w:spacing w:after="0" w:line="263" w:lineRule="auto"/>
        <w:rPr>
          <w:sz w:val="20"/>
          <w:szCs w:val="20"/>
          <w:color w:val="auto"/>
        </w:rPr>
      </w:pPr>
      <w:r>
        <w:rPr>
          <w:rFonts w:ascii="Times New Roman" w:cs="Times New Roman" w:eastAsia="Times New Roman" w:hAnsi="Times New Roman"/>
          <w:sz w:val="20"/>
          <w:szCs w:val="20"/>
          <w:color w:val="auto"/>
        </w:rPr>
        <w:t>measure retinal fluid and individualize dosing, and this dosing may not be incorporated into labeling or may require separate FDA review of the AI-based tool.</w:t>
      </w:r>
    </w:p>
    <w:p>
      <w:pPr>
        <w:spacing w:after="0" w:line="4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spacing w:after="0" w:line="188" w:lineRule="exact"/>
        <w:rPr>
          <w:sz w:val="20"/>
          <w:szCs w:val="20"/>
          <w:color w:val="auto"/>
        </w:rPr>
      </w:pPr>
    </w:p>
    <w:p>
      <w:pPr>
        <w:ind w:right="7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failure of pivotal studies to meet their primary efficacy endpoints may lead us to pause, change or discontinue development of other product candidates based on our ABC Platform.</w:t>
      </w:r>
    </w:p>
    <w:p>
      <w:pPr>
        <w:spacing w:after="0" w:line="49" w:lineRule="exact"/>
        <w:rPr>
          <w:sz w:val="20"/>
          <w:szCs w:val="20"/>
          <w:color w:val="auto"/>
        </w:rPr>
      </w:pPr>
    </w:p>
    <w:p>
      <w:pPr>
        <w:ind w:right="60" w:firstLine="490"/>
        <w:spacing w:after="0" w:line="233" w:lineRule="auto"/>
        <w:rPr>
          <w:sz w:val="20"/>
          <w:szCs w:val="20"/>
          <w:color w:val="auto"/>
        </w:rPr>
      </w:pPr>
      <w:r>
        <w:rPr>
          <w:rFonts w:ascii="Times New Roman" w:cs="Times New Roman" w:eastAsia="Times New Roman" w:hAnsi="Times New Roman"/>
          <w:sz w:val="20"/>
          <w:szCs w:val="20"/>
          <w:color w:val="auto"/>
        </w:rPr>
        <w:t>In July 2023, we announced that the Phase 3 GLEAM and GLIMMER clinical trials of tarcocimab did not meet their primary efficacy endpoints and, as a result, we paused further development of tarcocimab pending review of Year 1 data from the Phase 3 BEACON study in patients with RVO and the Phase 3 GLOW1 study of patients with DR. Although we resumed the development of tarcocimab in November 2023, we may again determine to discontinue development of tarcocimab or our ABC Platform or other product candidates, including KSI-501, based on future information such as in process or completed clinical trial results, which could prevent us from, or significantly delay, achieving profitability and could result in disruptions to our business including potential impairment charges, restructuring costs, or costs that are greater than expected.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plans for the development of tarcocimab, KSI-501 or KSI-101 may be unsuccessful.</w:t>
      </w:r>
    </w:p>
    <w:p>
      <w:pPr>
        <w:spacing w:after="0" w:line="107"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We resumed further development of tarcocimab in November 2023 following the outcomes of Year 1 data from the Phase 3 BEACON study in patients with RVO and the Phase 3 GLOW1 study of patients with DR.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 and, as a result, further development of tarcocimab and KSI-501 may ultimately not be successful.</w:t>
      </w:r>
    </w:p>
    <w:p>
      <w:pPr>
        <w:spacing w:after="0" w:line="19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Preliminary, interim and ongoing data from our preclinical studies and clinical trials is subject to a number of risks and uncertainties and may change as more patient data become available.</w:t>
      </w:r>
    </w:p>
    <w:p>
      <w:pPr>
        <w:spacing w:after="0" w:line="49" w:lineRule="exact"/>
        <w:rPr>
          <w:sz w:val="20"/>
          <w:szCs w:val="20"/>
          <w:color w:val="auto"/>
        </w:rPr>
      </w:pPr>
    </w:p>
    <w:p>
      <w:pPr>
        <w:ind w:firstLine="490"/>
        <w:spacing w:after="0" w:line="229" w:lineRule="auto"/>
        <w:rPr>
          <w:sz w:val="20"/>
          <w:szCs w:val="20"/>
          <w:color w:val="auto"/>
        </w:rPr>
      </w:pPr>
      <w:r>
        <w:rPr>
          <w:rFonts w:ascii="Times New Roman" w:cs="Times New Roman" w:eastAsia="Times New Roman" w:hAnsi="Times New Roman"/>
          <w:sz w:val="20"/>
          <w:szCs w:val="20"/>
          <w:color w:val="auto"/>
        </w:rPr>
        <w:t>We may from time to time have access to certain data from our preclinical studies and clinical trials on a preliminary, interim or ongoing basis. Such data is typically incomplete and is subject to a number of risks and uncertainties. In particular, any analysis of preliminary, interim or ongoing data typically involves only a preliminary analysis of then-available data. The results and related findings and conclusions based on such preliminary analysis may change following a more comprehensive review, evaluation, audit and verification of the data. Further, such preliminary, interim or ongoing data are subject to the risk that one or more of the clinical outcomes may materially change as patient enrollment continues and more patient data become available or as patients from our clinical trials continue other treatments. We may also make assumptions, estimations, calculations and conclusions as part of any analyses of these data, without the opportunity to fully and carefully evaluate complete data. As a result, the preliminary, interim or ongoing data from any of our preclinical studies or clinical trials, as well as any analysis of such data and any related findings and conclusions, may differ from, and may not be indicative of, future data, findings and conclusions for the same preclinical studies or clinical trials, and different conclusions or considerations may qualify such results once additional data have been received and fully evaluated or subsequently made subject to audit and verification procedures. We may from time to time make business decisions, prioritize certain product candidates, or otherwise allocate resources based on such preliminary, interim or ongoing data, and any such actions are subject to similar risks and uncertainties.</w:t>
      </w:r>
    </w:p>
    <w:p>
      <w:pPr>
        <w:spacing w:after="0" w:line="77" w:lineRule="exact"/>
        <w:rPr>
          <w:sz w:val="20"/>
          <w:szCs w:val="20"/>
          <w:color w:val="auto"/>
        </w:rPr>
      </w:pPr>
    </w:p>
    <w:p>
      <w:pPr>
        <w:ind w:right="20" w:firstLine="490"/>
        <w:spacing w:after="0" w:line="229" w:lineRule="auto"/>
        <w:rPr>
          <w:sz w:val="20"/>
          <w:szCs w:val="20"/>
          <w:color w:val="auto"/>
        </w:rPr>
      </w:pPr>
      <w:r>
        <w:rPr>
          <w:rFonts w:ascii="Times New Roman" w:cs="Times New Roman" w:eastAsia="Times New Roman" w:hAnsi="Times New Roman"/>
          <w:sz w:val="20"/>
          <w:szCs w:val="20"/>
          <w:color w:val="auto"/>
        </w:rPr>
        <w:t>From time to time, we may also disclose any such preliminary, interim or ongoing data from our preclinical studies and clinical trials. Any such preliminary, interim or ongoing data are subject to the risks and uncertainties described above, and accordingly investors should not place undue reliance on any such data, or any related findings and conclusions, that we may disclose from time to time. Further, others, including regulatory agencies, may not accept or agree with our assumptions, estimates, calculations, conclusions or analyses based on any such preliminary, interim or ongoing data, or may interpret or weigh the importance of such data differently, which could impact the value of the particular program, the approvability or commercialization of tarcocimab, KSI-501 or KSI-101 and our company in general. In addition, any preliminary, interim or ongoing data we may choose to publicly disclose from time to time regarding a particular preclinical study or clinical trial would be based on what is typically extensive information, but may not reflect all of the data we have received. It is possible that investors and others may not agree with what we determine is material or otherwise appropriate information to include in our disclosure. If any preliminary, interim or ongoing data, or any related findings or conclusion, that we choose to publicly disclose differ from final results, findings and conclusions for the same preclinical study or clinical trial, or if others, including regulatory authorities, disagree with the conclusions reached, our ability to obtain approval for, and commercialize, tarcocimab, KSI-501 or KSI-101 may be harmed, which could harm our business, operating results, prospects or financial condition. Conversely, any preliminary or interim information we determine not to publicly disclose, including because it has yet to be fully and carefully evaluated, may in the future be deemed significant with respect to decisions, conclusions, views, activities or otherwise regarding a particular product candidate or our business.</w:t>
      </w:r>
    </w:p>
    <w:p>
      <w:pPr>
        <w:sectPr>
          <w:pgSz w:w="12240" w:h="15840" w:orient="portrait"/>
          <w:cols w:equalWidth="0" w:num="1">
            <w:col w:w="10160"/>
          </w:cols>
          <w:pgMar w:left="1080" w:top="1049" w:right="1000" w:bottom="175"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160"/>
          </w:cols>
          <w:pgMar w:left="1080" w:top="1049" w:right="1000" w:bottom="175" w:gutter="0" w:footer="0" w:header="0"/>
          <w:type w:val="continuous"/>
        </w:sectPr>
      </w:pPr>
    </w:p>
    <w:bookmarkStart w:id="32" w:name="page33"/>
    <w:bookmarkEnd w:id="32"/>
    <w:p>
      <w:pPr>
        <w:ind w:right="30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94" w:lineRule="exact"/>
        <w:rPr>
          <w:sz w:val="20"/>
          <w:szCs w:val="20"/>
          <w:color w:val="auto"/>
        </w:rPr>
      </w:pPr>
    </w:p>
    <w:p>
      <w:pPr>
        <w:ind w:left="980" w:right="460" w:hanging="490"/>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 candidates have in the past and may in the future not successfully complete preclinical studies or clinical trials;</w:t>
      </w:r>
    </w:p>
    <w:p>
      <w:pPr>
        <w:spacing w:after="0" w:line="64" w:lineRule="exact"/>
        <w:rPr>
          <w:rFonts w:ascii="Arial" w:cs="Arial" w:eastAsia="Arial" w:hAnsi="Arial"/>
          <w:sz w:val="20"/>
          <w:szCs w:val="20"/>
          <w:color w:val="auto"/>
        </w:rPr>
      </w:pPr>
    </w:p>
    <w:p>
      <w:pPr>
        <w:ind w:left="980" w:right="120" w:hanging="490"/>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if a product candidate obtains regulatory approval, approval may be for indications, dosage and administration or patient populations that are not as broad as intended or desired;</w:t>
      </w:r>
    </w:p>
    <w:p>
      <w:pPr>
        <w:spacing w:after="0" w:line="64" w:lineRule="exact"/>
        <w:rPr>
          <w:rFonts w:ascii="Arial" w:cs="Arial" w:eastAsia="Arial" w:hAnsi="Arial"/>
          <w:sz w:val="20"/>
          <w:szCs w:val="20"/>
          <w:color w:val="auto"/>
        </w:rPr>
      </w:pPr>
    </w:p>
    <w:p>
      <w:pPr>
        <w:jc w:val="both"/>
        <w:ind w:left="980" w:right="480" w:hanging="490"/>
        <w:spacing w:after="0" w:line="258"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may develop therapeutics that render our product candidates obsolete or less attractive;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may develop platform technologies that render our ABC Platform obsolete or less attractive;</w:t>
      </w:r>
    </w:p>
    <w:p>
      <w:pPr>
        <w:spacing w:after="0" w:line="133" w:lineRule="exact"/>
        <w:rPr>
          <w:rFonts w:ascii="Arial" w:cs="Arial" w:eastAsia="Arial" w:hAnsi="Arial"/>
          <w:sz w:val="20"/>
          <w:szCs w:val="20"/>
          <w:color w:val="auto"/>
        </w:rPr>
      </w:pPr>
    </w:p>
    <w:p>
      <w:pPr>
        <w:ind w:left="980" w:right="40" w:hanging="490"/>
        <w:spacing w:after="0" w:line="258"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any product candidates and the ABC Platform that we develop may not be sufficiently covered by intellectual property for which we hold exclusive rights or may be covered by third party patents or other intellectual property or exclusive rights;</w:t>
      </w:r>
    </w:p>
    <w:p>
      <w:pPr>
        <w:spacing w:after="0" w:line="81" w:lineRule="exact"/>
        <w:rPr>
          <w:rFonts w:ascii="Arial" w:cs="Arial" w:eastAsia="Arial" w:hAnsi="Arial"/>
          <w:sz w:val="20"/>
          <w:szCs w:val="20"/>
          <w:color w:val="auto"/>
        </w:rPr>
      </w:pPr>
    </w:p>
    <w:p>
      <w:pPr>
        <w:ind w:left="980" w:right="140" w:hanging="490"/>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for a product candidate may change so that the continued development of that product candidate is no longer commercially attractive;</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 product candidate may not be capable of being produced in commercial quantities at an acceptable cost, or at all;</w:t>
      </w:r>
    </w:p>
    <w:p>
      <w:pPr>
        <w:spacing w:after="0" w:line="133" w:lineRule="exact"/>
        <w:rPr>
          <w:rFonts w:ascii="Arial" w:cs="Arial" w:eastAsia="Arial" w:hAnsi="Arial"/>
          <w:sz w:val="20"/>
          <w:szCs w:val="20"/>
          <w:color w:val="auto"/>
        </w:rPr>
      </w:pPr>
    </w:p>
    <w:p>
      <w:pPr>
        <w:ind w:left="980" w:right="40" w:hanging="490"/>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if a product candidate obtains regulatory approval, we may be unable to establish sales and marketing capabilities, or successfully market such approved product candidate, to gain market acceptance; and</w:t>
      </w:r>
    </w:p>
    <w:p>
      <w:pPr>
        <w:spacing w:after="0" w:line="64" w:lineRule="exact"/>
        <w:rPr>
          <w:rFonts w:ascii="Arial" w:cs="Arial" w:eastAsia="Arial" w:hAnsi="Arial"/>
          <w:sz w:val="20"/>
          <w:szCs w:val="20"/>
          <w:color w:val="auto"/>
        </w:rPr>
      </w:pPr>
    </w:p>
    <w:p>
      <w:pPr>
        <w:ind w:left="980" w:right="220" w:hanging="490"/>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 product candidate may not be accepted as safe and effective by patients, the medical community or third-party payors, if applicable.</w:t>
      </w:r>
    </w:p>
    <w:p>
      <w:pPr>
        <w:spacing w:after="0" w:line="39" w:lineRule="exact"/>
        <w:rPr>
          <w:sz w:val="20"/>
          <w:szCs w:val="20"/>
          <w:color w:val="auto"/>
        </w:rPr>
      </w:pPr>
    </w:p>
    <w:p>
      <w:pPr>
        <w:ind w:right="140" w:firstLine="490"/>
        <w:spacing w:after="0" w:line="236" w:lineRule="auto"/>
        <w:rPr>
          <w:sz w:val="20"/>
          <w:szCs w:val="20"/>
          <w:color w:val="auto"/>
        </w:rPr>
      </w:pPr>
      <w:r>
        <w:rPr>
          <w:rFonts w:ascii="Times New Roman" w:cs="Times New Roman" w:eastAsia="Times New Roman" w:hAnsi="Times New Roman"/>
          <w:sz w:val="20"/>
          <w:szCs w:val="20"/>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72"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Further, we may not be successful in our efforts to further develop our product candidates and our ABC Platform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89"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 in any jurisdiction even if such product candidate successfully completes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w:t>
      </w:r>
    </w:p>
    <w:p>
      <w:pPr>
        <w:sectPr>
          <w:pgSz w:w="12240" w:h="15840" w:orient="portrait"/>
          <w:cols w:equalWidth="0" w:num="1">
            <w:col w:w="10160"/>
          </w:cols>
          <w:pgMar w:left="1080" w:top="1049" w:right="1000" w:bottom="175"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160"/>
          </w:cols>
          <w:pgMar w:left="1080" w:top="1049" w:right="1000" w:bottom="175" w:gutter="0" w:footer="0" w:header="0"/>
          <w:type w:val="continuous"/>
        </w:sectPr>
      </w:pPr>
    </w:p>
    <w:bookmarkStart w:id="33" w:name="page34"/>
    <w:bookmarkEnd w:id="33"/>
    <w:p>
      <w:pPr>
        <w:ind w:right="140"/>
        <w:spacing w:after="0" w:line="277" w:lineRule="auto"/>
        <w:rPr>
          <w:sz w:val="20"/>
          <w:szCs w:val="20"/>
          <w:color w:val="auto"/>
        </w:rPr>
      </w:pPr>
      <w:r>
        <w:rPr>
          <w:rFonts w:ascii="Times New Roman" w:cs="Times New Roman" w:eastAsia="Times New Roman" w:hAnsi="Times New Roman"/>
          <w:sz w:val="20"/>
          <w:szCs w:val="20"/>
          <w:color w:val="auto"/>
        </w:rPr>
        <w:t>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49"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REMS. The failure to obtain timely regulatory approval of product candidates, any product marketing limitations or a product withdrawal would negatively impact our business, results of operations and financial condition.</w:t>
      </w:r>
    </w:p>
    <w:p>
      <w:pPr>
        <w:spacing w:after="0" w:line="86"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9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encounter substantial delays in our clinical trials or may not be able to conduct or complete our clinical trials on the timelines we expect, if at all.</w:t>
      </w:r>
    </w:p>
    <w:p>
      <w:pPr>
        <w:spacing w:after="0" w:line="40" w:lineRule="exact"/>
        <w:rPr>
          <w:sz w:val="20"/>
          <w:szCs w:val="20"/>
          <w:color w:val="auto"/>
        </w:rPr>
      </w:pPr>
    </w:p>
    <w:p>
      <w:pPr>
        <w:ind w:firstLine="490"/>
        <w:spacing w:after="0" w:line="236" w:lineRule="auto"/>
        <w:rPr>
          <w:sz w:val="20"/>
          <w:szCs w:val="20"/>
          <w:color w:val="auto"/>
        </w:rPr>
      </w:pPr>
      <w:r>
        <w:rPr>
          <w:rFonts w:ascii="Times New Roman" w:cs="Times New Roman" w:eastAsia="Times New Roman" w:hAnsi="Times New Roman"/>
          <w:sz w:val="20"/>
          <w:szCs w:val="20"/>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97" w:lineRule="exact"/>
        <w:rPr>
          <w:sz w:val="20"/>
          <w:szCs w:val="20"/>
          <w:color w:val="auto"/>
        </w:rPr>
      </w:pPr>
    </w:p>
    <w:p>
      <w:pPr>
        <w:ind w:left="980" w:right="20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inability to generate sufficient preclinical, toxicology, or other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data to support the initiation or continuation of clinical trials;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reaching a consensus with regulatory agencies on study design;</w:t>
      </w:r>
    </w:p>
    <w:p>
      <w:pPr>
        <w:spacing w:after="0" w:line="133" w:lineRule="exact"/>
        <w:rPr>
          <w:rFonts w:ascii="Arial" w:cs="Arial" w:eastAsia="Arial" w:hAnsi="Arial"/>
          <w:sz w:val="20"/>
          <w:szCs w:val="20"/>
          <w:color w:val="auto"/>
        </w:rPr>
      </w:pPr>
    </w:p>
    <w:p>
      <w:pPr>
        <w:ind w:left="980" w:right="24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determination by the reviewing regulatory authority to require more costly or lengthy clinical trials than we currently anticipate;</w:t>
      </w:r>
    </w:p>
    <w:p>
      <w:pPr>
        <w:spacing w:after="0" w:line="64" w:lineRule="exact"/>
        <w:rPr>
          <w:rFonts w:ascii="Arial" w:cs="Arial" w:eastAsia="Arial" w:hAnsi="Arial"/>
          <w:sz w:val="20"/>
          <w:szCs w:val="20"/>
          <w:color w:val="auto"/>
        </w:rPr>
      </w:pPr>
    </w:p>
    <w:p>
      <w:pPr>
        <w:ind w:left="980" w:right="20" w:hanging="490"/>
        <w:spacing w:after="0" w:line="258"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reaching agreement on acceptable terms with clinical trial sites or other third-party vendors, the terms of which can be subject to extensive negotiation and may vary significantly among different clinical trial sites or vendors;</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identifying, recruiting and training suitable clinical investigators;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obtaining required IRB approval at each clinical trial site;</w:t>
      </w:r>
    </w:p>
    <w:p>
      <w:pPr>
        <w:spacing w:after="0" w:line="133" w:lineRule="exact"/>
        <w:rPr>
          <w:rFonts w:ascii="Arial" w:cs="Arial" w:eastAsia="Arial" w:hAnsi="Arial"/>
          <w:sz w:val="20"/>
          <w:szCs w:val="20"/>
          <w:color w:val="auto"/>
        </w:rPr>
      </w:pPr>
    </w:p>
    <w:p>
      <w:pPr>
        <w:ind w:left="980" w:hanging="490"/>
        <w:spacing w:after="0" w:line="24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w:t>
      </w:r>
    </w:p>
    <w:p>
      <w:pPr>
        <w:spacing w:after="0" w:line="93" w:lineRule="exact"/>
        <w:rPr>
          <w:rFonts w:ascii="Arial" w:cs="Arial" w:eastAsia="Arial" w:hAnsi="Arial"/>
          <w:sz w:val="20"/>
          <w:szCs w:val="20"/>
          <w:color w:val="auto"/>
        </w:rPr>
      </w:pPr>
    </w:p>
    <w:p>
      <w:pPr>
        <w:ind w:left="980" w:right="50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identifying, recruiting and enrolling suitable patients to participate in our clinical trials, and delays caused by patients withdrawing from clinical trials or failing to return for post-treatment follow-up;</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collaborating with patient groups and investigators;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third parties or us to adhere to clinical trial requirements;</w:t>
      </w:r>
    </w:p>
    <w:p>
      <w:pPr>
        <w:spacing w:after="0" w:line="133" w:lineRule="exact"/>
        <w:rPr>
          <w:rFonts w:ascii="Arial" w:cs="Arial" w:eastAsia="Arial" w:hAnsi="Arial"/>
          <w:sz w:val="20"/>
          <w:szCs w:val="20"/>
          <w:color w:val="auto"/>
        </w:rPr>
      </w:pPr>
    </w:p>
    <w:p>
      <w:pPr>
        <w:ind w:left="980" w:right="34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perform in accordance with the FDA’s or any other regulatory authority’s good clinical practices, or GCPs, requirements, or applicable EMA or other regulatory guidelines in other countries;</w:t>
      </w:r>
    </w:p>
    <w:p>
      <w:pPr>
        <w:spacing w:after="0" w:line="64" w:lineRule="exact"/>
        <w:rPr>
          <w:rFonts w:ascii="Arial" w:cs="Arial" w:eastAsia="Arial" w:hAnsi="Arial"/>
          <w:sz w:val="20"/>
          <w:szCs w:val="20"/>
          <w:color w:val="auto"/>
        </w:rPr>
      </w:pPr>
    </w:p>
    <w:p>
      <w:pPr>
        <w:ind w:left="980" w:right="520" w:hanging="490"/>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occurrence of adverse events associated with the product candidate that are viewed to outweigh its potential benefits;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regulatory requirements and guidance that require amending or submitting new clinical protocols;</w:t>
      </w:r>
    </w:p>
    <w:p>
      <w:pPr>
        <w:sectPr>
          <w:pgSz w:w="12240" w:h="15840" w:orient="portrait"/>
          <w:cols w:equalWidth="0" w:num="1">
            <w:col w:w="10120"/>
          </w:cols>
          <w:pgMar w:left="1080" w:top="1060" w:right="1040" w:bottom="175" w:gutter="0" w:footer="0" w:header="0"/>
        </w:sect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120"/>
          </w:cols>
          <w:pgMar w:left="1080" w:top="1060" w:right="1040" w:bottom="175" w:gutter="0" w:footer="0" w:header="0"/>
          <w:type w:val="continuous"/>
        </w:sectPr>
      </w:pPr>
    </w:p>
    <w:bookmarkStart w:id="34" w:name="page35"/>
    <w:bookmarkEnd w:id="34"/>
    <w:p>
      <w:pPr>
        <w:ind w:left="980" w:right="600" w:hanging="490"/>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on which a clinical development plan was based, which may require new or additional trials;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trials of our product candidates being greater than we anticipate;</w:t>
      </w:r>
    </w:p>
    <w:p>
      <w:pPr>
        <w:spacing w:after="0" w:line="133" w:lineRule="exact"/>
        <w:rPr>
          <w:rFonts w:ascii="Arial" w:cs="Arial" w:eastAsia="Arial" w:hAnsi="Arial"/>
          <w:sz w:val="20"/>
          <w:szCs w:val="20"/>
          <w:color w:val="auto"/>
        </w:rPr>
      </w:pPr>
    </w:p>
    <w:p>
      <w:pPr>
        <w:ind w:left="980" w:right="160" w:hanging="490"/>
        <w:spacing w:after="0" w:line="258"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1" w:lineRule="exact"/>
        <w:rPr>
          <w:rFonts w:ascii="Arial" w:cs="Arial" w:eastAsia="Arial" w:hAnsi="Arial"/>
          <w:sz w:val="20"/>
          <w:szCs w:val="20"/>
          <w:color w:val="auto"/>
        </w:rPr>
      </w:pPr>
    </w:p>
    <w:p>
      <w:pPr>
        <w:ind w:left="980" w:right="140" w:hanging="490"/>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transfer of manufacturing processes to larger-scale facilities operated by CMOs or by us, and delays or failure by our CMOs or us to make any necessary changes to such manufacturing process; and</w:t>
      </w:r>
    </w:p>
    <w:p>
      <w:pPr>
        <w:spacing w:after="0" w:line="64" w:lineRule="exact"/>
        <w:rPr>
          <w:rFonts w:ascii="Arial" w:cs="Arial" w:eastAsia="Arial" w:hAnsi="Arial"/>
          <w:sz w:val="20"/>
          <w:szCs w:val="20"/>
          <w:color w:val="auto"/>
        </w:rPr>
      </w:pPr>
    </w:p>
    <w:p>
      <w:pPr>
        <w:ind w:left="980" w:right="280" w:hanging="490"/>
        <w:spacing w:after="0" w:line="258"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60" w:lineRule="exact"/>
        <w:rPr>
          <w:sz w:val="20"/>
          <w:szCs w:val="20"/>
          <w:color w:val="auto"/>
        </w:rPr>
      </w:pPr>
    </w:p>
    <w:p>
      <w:pPr>
        <w:ind w:firstLine="490"/>
        <w:spacing w:after="0" w:line="237" w:lineRule="auto"/>
        <w:rPr>
          <w:sz w:val="20"/>
          <w:szCs w:val="20"/>
          <w:color w:val="auto"/>
        </w:rPr>
      </w:pPr>
      <w:r>
        <w:rPr>
          <w:rFonts w:ascii="Times New Roman" w:cs="Times New Roman" w:eastAsia="Times New Roman" w:hAnsi="Times New Roman"/>
          <w:sz w:val="20"/>
          <w:szCs w:val="20"/>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jc w:val="both"/>
        <w:ind w:right="160" w:firstLine="490"/>
        <w:spacing w:after="0"/>
        <w:rPr>
          <w:sz w:val="20"/>
          <w:szCs w:val="20"/>
          <w:color w:val="auto"/>
        </w:rPr>
      </w:pPr>
      <w:r>
        <w:rPr>
          <w:rFonts w:ascii="Times New Roman" w:cs="Times New Roman" w:eastAsia="Times New Roman" w:hAnsi="Times New Roman"/>
          <w:sz w:val="20"/>
          <w:szCs w:val="20"/>
          <w:color w:val="auto"/>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w:t>
      </w:r>
    </w:p>
    <w:p>
      <w:pPr>
        <w:ind w:right="160"/>
        <w:spacing w:after="0" w:line="233" w:lineRule="auto"/>
        <w:rPr>
          <w:sz w:val="20"/>
          <w:szCs w:val="20"/>
          <w:color w:val="auto"/>
        </w:rPr>
      </w:pPr>
      <w:r>
        <w:rPr>
          <w:rFonts w:ascii="Times New Roman" w:cs="Times New Roman" w:eastAsia="Times New Roman" w:hAnsi="Times New Roman"/>
          <w:sz w:val="20"/>
          <w:szCs w:val="20"/>
          <w:color w:val="auto"/>
        </w:rPr>
        <w:t>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w:t>
      </w:r>
    </w:p>
    <w:p>
      <w:pPr>
        <w:spacing w:after="0" w:line="75" w:lineRule="exact"/>
        <w:rPr>
          <w:sz w:val="20"/>
          <w:szCs w:val="20"/>
          <w:color w:val="auto"/>
        </w:rPr>
      </w:pPr>
    </w:p>
    <w:p>
      <w:pPr>
        <w:ind w:right="260" w:firstLine="490"/>
        <w:spacing w:after="0" w:line="239" w:lineRule="auto"/>
        <w:rPr>
          <w:sz w:val="20"/>
          <w:szCs w:val="20"/>
          <w:color w:val="auto"/>
        </w:rPr>
      </w:pPr>
      <w:r>
        <w:rPr>
          <w:rFonts w:ascii="Times New Roman" w:cs="Times New Roman" w:eastAsia="Times New Roman" w:hAnsi="Times New Roman"/>
          <w:sz w:val="20"/>
          <w:szCs w:val="20"/>
          <w:color w:val="auto"/>
        </w:rPr>
        <w:t>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99"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cause undesirable side effects or have other properties that could halt their clinical development, prevent their regulatory approval, limit their commercial potential or result in other significant negative consequences.</w:t>
      </w:r>
    </w:p>
    <w:p>
      <w:pPr>
        <w:spacing w:after="0" w:line="66" w:lineRule="exact"/>
        <w:rPr>
          <w:sz w:val="20"/>
          <w:szCs w:val="20"/>
          <w:color w:val="auto"/>
        </w:rPr>
      </w:pPr>
    </w:p>
    <w:p>
      <w:pPr>
        <w:jc w:val="both"/>
        <w:ind w:right="800" w:firstLine="490"/>
        <w:spacing w:after="0" w:line="248" w:lineRule="auto"/>
        <w:rPr>
          <w:sz w:val="20"/>
          <w:szCs w:val="20"/>
          <w:color w:val="auto"/>
        </w:rPr>
      </w:pPr>
      <w:r>
        <w:rPr>
          <w:rFonts w:ascii="Times New Roman" w:cs="Times New Roman" w:eastAsia="Times New Roman" w:hAnsi="Times New Roman"/>
          <w:sz w:val="20"/>
          <w:szCs w:val="20"/>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p>
    <w:p>
      <w:pPr>
        <w:spacing w:after="0" w:line="68"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 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w:t>
      </w:r>
    </w:p>
    <w:p>
      <w:pPr>
        <w:spacing w:after="0" w:line="83" w:lineRule="exact"/>
        <w:rPr>
          <w:sz w:val="20"/>
          <w:szCs w:val="20"/>
          <w:color w:val="auto"/>
        </w:rPr>
      </w:pPr>
    </w:p>
    <w:p>
      <w:pPr>
        <w:ind w:right="180" w:firstLine="490"/>
        <w:spacing w:after="0" w:line="248" w:lineRule="auto"/>
        <w:rPr>
          <w:sz w:val="20"/>
          <w:szCs w:val="20"/>
          <w:color w:val="auto"/>
        </w:rPr>
      </w:pPr>
      <w:r>
        <w:rPr>
          <w:rFonts w:ascii="Times New Roman" w:cs="Times New Roman" w:eastAsia="Times New Roman" w:hAnsi="Times New Roman"/>
          <w:sz w:val="20"/>
          <w:szCs w:val="20"/>
          <w:color w:val="auto"/>
        </w:rPr>
        <w:t>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w:t>
      </w:r>
    </w:p>
    <w:p>
      <w:pPr>
        <w:sectPr>
          <w:pgSz w:w="12240" w:h="15840" w:orient="portrait"/>
          <w:cols w:equalWidth="0" w:num="1">
            <w:col w:w="10160"/>
          </w:cols>
          <w:pgMar w:left="1080" w:top="1074" w:right="1000" w:bottom="175" w:gutter="0" w:footer="0" w:header="0"/>
        </w:sect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160"/>
          </w:cols>
          <w:pgMar w:left="1080" w:top="1074" w:right="1000" w:bottom="175" w:gutter="0" w:footer="0" w:header="0"/>
          <w:type w:val="continuous"/>
        </w:sectPr>
      </w:pPr>
    </w:p>
    <w:bookmarkStart w:id="35" w:name="page36"/>
    <w:bookmarkEnd w:id="35"/>
    <w:p>
      <w:pPr>
        <w:spacing w:after="0" w:line="233" w:lineRule="auto"/>
        <w:rPr>
          <w:sz w:val="20"/>
          <w:szCs w:val="20"/>
          <w:color w:val="auto"/>
        </w:rPr>
      </w:pPr>
      <w:r>
        <w:rPr>
          <w:rFonts w:ascii="Times New Roman" w:cs="Times New Roman" w:eastAsia="Times New Roman" w:hAnsi="Times New Roman"/>
          <w:sz w:val="20"/>
          <w:szCs w:val="20"/>
          <w:color w:val="auto"/>
        </w:rPr>
        <w:t>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w:t>
      </w:r>
    </w:p>
    <w:p>
      <w:pPr>
        <w:spacing w:after="0" w:line="8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83" w:lineRule="exact"/>
        <w:rPr>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withdraw approvals of such product;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additional warnings on the label;</w:t>
      </w:r>
    </w:p>
    <w:p>
      <w:pPr>
        <w:spacing w:after="0" w:line="133"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change the way the product is administered or conduct additional clinical trials or post-approval studies;</w:t>
      </w:r>
    </w:p>
    <w:p>
      <w:pPr>
        <w:spacing w:after="0" w:line="64" w:lineRule="exact"/>
        <w:rPr>
          <w:rFonts w:ascii="Arial" w:cs="Arial" w:eastAsia="Arial" w:hAnsi="Arial"/>
          <w:sz w:val="20"/>
          <w:szCs w:val="20"/>
          <w:color w:val="auto"/>
        </w:rPr>
      </w:pPr>
    </w:p>
    <w:p>
      <w:pPr>
        <w:jc w:val="both"/>
        <w:ind w:left="980" w:right="280" w:hanging="490"/>
        <w:spacing w:after="0" w:line="258"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and held liable for harm caused to patients;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w:t>
      </w:r>
    </w:p>
    <w:p>
      <w:pPr>
        <w:spacing w:after="0" w:line="119"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particular product candidate, if approved, and could significantly harm our business, results of operations, and prospects.</w:t>
      </w:r>
    </w:p>
    <w:p>
      <w:pPr>
        <w:spacing w:after="0" w:line="16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encounter difficulties enrolling patients in our clinical trials and our clinical development activities could thereby be delayed or otherwise adversely affected.</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83" w:lineRule="exact"/>
        <w:rPr>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nature of the patient population;</w:t>
      </w:r>
    </w:p>
    <w:p>
      <w:pPr>
        <w:spacing w:after="0" w:line="133" w:lineRule="exact"/>
        <w:rPr>
          <w:rFonts w:ascii="Arial" w:cs="Arial" w:eastAsia="Arial" w:hAnsi="Arial"/>
          <w:sz w:val="20"/>
          <w:szCs w:val="20"/>
          <w:color w:val="auto"/>
        </w:rPr>
      </w:pPr>
    </w:p>
    <w:p>
      <w:pPr>
        <w:ind w:left="980" w:right="80" w:hanging="490"/>
        <w:spacing w:after="0" w:line="258"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study population required for analysis of the trial’s primary endpoints;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proximity of patients to a trial site;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effects of health epidemics, including the resulting shelter-in-place, travel or similar restrictions;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design of the trial;</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new safety events may cause physicians to decrease patient enrollment in our current or planned studies;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recruit clinical trial investigators with the appropriate competencies and experience;</w:t>
      </w:r>
    </w:p>
    <w:p>
      <w:pPr>
        <w:spacing w:after="0" w:line="133" w:lineRule="exact"/>
        <w:rPr>
          <w:rFonts w:ascii="Arial" w:cs="Arial" w:eastAsia="Arial" w:hAnsi="Arial"/>
          <w:sz w:val="20"/>
          <w:szCs w:val="20"/>
          <w:color w:val="auto"/>
        </w:rPr>
      </w:pPr>
    </w:p>
    <w:p>
      <w:pPr>
        <w:ind w:left="980" w:right="560" w:hanging="490"/>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competing clinical trials for similar therapies or targeting patient populations meeting our patient eligibility criteria;</w:t>
      </w:r>
    </w:p>
    <w:p>
      <w:pPr>
        <w:sectPr>
          <w:pgSz w:w="12240" w:h="15840" w:orient="portrait"/>
          <w:cols w:equalWidth="0" w:num="1">
            <w:col w:w="10120"/>
          </w:cols>
          <w:pgMar w:left="1080" w:top="1052" w:right="10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120"/>
          </w:cols>
          <w:pgMar w:left="1080" w:top="1052" w:right="1040" w:bottom="175" w:gutter="0" w:footer="0" w:header="0"/>
          <w:type w:val="continuous"/>
        </w:sectPr>
      </w:pPr>
    </w:p>
    <w:bookmarkStart w:id="36" w:name="page37"/>
    <w:bookmarkEnd w:id="36"/>
    <w:p>
      <w:pPr>
        <w:ind w:left="980" w:right="120" w:hanging="490"/>
        <w:spacing w:after="0" w:line="27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and patients’ perceptions as to the potential advantages and side effects of the product candidate being studied in relation to other available therapies and product candidates;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patient consents;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patients enrolled in clinical trials will not complete such trials, for any reason.</w:t>
      </w:r>
    </w:p>
    <w:p>
      <w:pPr>
        <w:spacing w:after="0" w:line="119"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89" w:lineRule="exact"/>
        <w:rPr>
          <w:sz w:val="20"/>
          <w:szCs w:val="20"/>
          <w:color w:val="auto"/>
        </w:rPr>
      </w:pPr>
    </w:p>
    <w:p>
      <w:pPr>
        <w:ind w:right="74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49"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which is especially true for anti-VEGF biologic agents, where available marketed therapies are well-established products with accepted safety profiles.</w:t>
      </w:r>
    </w:p>
    <w:p>
      <w:pPr>
        <w:spacing w:after="0" w:line="76" w:lineRule="exact"/>
        <w:rPr>
          <w:sz w:val="20"/>
          <w:szCs w:val="20"/>
          <w:color w:val="auto"/>
        </w:rPr>
      </w:pPr>
    </w:p>
    <w:p>
      <w:pPr>
        <w:ind w:right="20" w:firstLine="490"/>
        <w:spacing w:after="0" w:line="233" w:lineRule="auto"/>
        <w:rPr>
          <w:sz w:val="20"/>
          <w:szCs w:val="20"/>
          <w:color w:val="auto"/>
        </w:rPr>
      </w:pPr>
      <w:r>
        <w:rPr>
          <w:rFonts w:ascii="Times New Roman" w:cs="Times New Roman" w:eastAsia="Times New Roman" w:hAnsi="Times New Roman"/>
          <w:sz w:val="20"/>
          <w:szCs w:val="20"/>
          <w:color w:val="auto"/>
        </w:rPr>
        <w:t>Clinical testing is expensive and can take many years to complete, and its outcome is inherently uncertain. Failure can occur at any time during the clinical trial process. Most product candidates that begin clinical trials are never approved by regulatory authorities for commercialization.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spacing w:after="0" w:line="80" w:lineRule="exact"/>
        <w:rPr>
          <w:sz w:val="20"/>
          <w:szCs w:val="20"/>
          <w:color w:val="auto"/>
        </w:rPr>
      </w:pPr>
    </w:p>
    <w:p>
      <w:pPr>
        <w:ind w:right="80" w:firstLine="490"/>
        <w:spacing w:after="0" w:line="239" w:lineRule="auto"/>
        <w:rPr>
          <w:sz w:val="20"/>
          <w:szCs w:val="20"/>
          <w:color w:val="auto"/>
        </w:rPr>
      </w:pPr>
      <w:r>
        <w:rPr>
          <w:rFonts w:ascii="Times New Roman" w:cs="Times New Roman" w:eastAsia="Times New Roman" w:hAnsi="Times New Roman"/>
          <w:sz w:val="20"/>
          <w:szCs w:val="20"/>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9"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sectPr>
          <w:pgSz w:w="12240" w:h="15840" w:orient="portrait"/>
          <w:cols w:equalWidth="0" w:num="1">
            <w:col w:w="10160"/>
          </w:cols>
          <w:pgMar w:left="1080" w:top="1074"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160"/>
          </w:cols>
          <w:pgMar w:left="1080" w:top="1074" w:right="1000" w:bottom="175" w:gutter="0" w:footer="0" w:header="0"/>
          <w:type w:val="continuous"/>
        </w:sectPr>
      </w:pPr>
    </w:p>
    <w:bookmarkStart w:id="37" w:name="page38"/>
    <w:bookmarkEnd w:id="37"/>
    <w:p>
      <w:pPr>
        <w:ind w:right="2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68" w:lineRule="exact"/>
        <w:rPr>
          <w:sz w:val="20"/>
          <w:szCs w:val="20"/>
          <w:color w:val="auto"/>
        </w:rPr>
      </w:pPr>
    </w:p>
    <w:p>
      <w:pPr>
        <w:ind w:right="20" w:firstLine="490"/>
        <w:spacing w:after="0" w:line="238" w:lineRule="auto"/>
        <w:rPr>
          <w:sz w:val="20"/>
          <w:szCs w:val="20"/>
          <w:color w:val="auto"/>
        </w:rPr>
      </w:pPr>
      <w:r>
        <w:rPr>
          <w:rFonts w:ascii="Times New Roman" w:cs="Times New Roman" w:eastAsia="Times New Roman" w:hAnsi="Times New Roman"/>
          <w:sz w:val="20"/>
          <w:szCs w:val="20"/>
          <w:color w:val="auto"/>
        </w:rPr>
        <w:t>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76"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spacing w:after="0" w:line="1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4" w:lineRule="exact"/>
        <w:rPr>
          <w:sz w:val="20"/>
          <w:szCs w:val="20"/>
          <w:color w:val="auto"/>
        </w:rPr>
      </w:pPr>
    </w:p>
    <w:p>
      <w:pPr>
        <w:ind w:right="60" w:firstLine="490"/>
        <w:spacing w:after="0" w:line="239" w:lineRule="auto"/>
        <w:rPr>
          <w:sz w:val="20"/>
          <w:szCs w:val="20"/>
          <w:color w:val="auto"/>
        </w:rPr>
      </w:pPr>
      <w:r>
        <w:rPr>
          <w:rFonts w:ascii="Times New Roman" w:cs="Times New Roman" w:eastAsia="Times New Roman" w:hAnsi="Times New Roman"/>
          <w:sz w:val="20"/>
          <w:szCs w:val="20"/>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7" w:lineRule="exact"/>
        <w:rPr>
          <w:sz w:val="20"/>
          <w:szCs w:val="20"/>
          <w:color w:val="auto"/>
        </w:rPr>
      </w:pPr>
    </w:p>
    <w:p>
      <w:pPr>
        <w:ind w:right="100" w:firstLine="490"/>
        <w:spacing w:after="0" w:line="234" w:lineRule="auto"/>
        <w:rPr>
          <w:sz w:val="20"/>
          <w:szCs w:val="20"/>
          <w:color w:val="auto"/>
        </w:rPr>
      </w:pPr>
      <w:r>
        <w:rPr>
          <w:rFonts w:ascii="Times New Roman" w:cs="Times New Roman" w:eastAsia="Times New Roman" w:hAnsi="Times New Roman"/>
          <w:sz w:val="20"/>
          <w:szCs w:val="20"/>
          <w:color w:val="auto"/>
        </w:rPr>
        <w:t>There are a number of large pharmaceutical and biotechnology companies that are currently pursuing the development of products for the treatment of the retinal diseases for which we have product candidates. Several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In addition, multiple biosimilars referencing established anti-VEGF therapies have been approved in the United States and are entering the market, which may increase pricing and competitive pressures. Companies that we are aware are developing and/or commercializing therapeutics in the retinal disease area include large companies with significant financial resources, such as Roche, Novartis, Bayer, Regeneron, AbbVie, Boehringer Ingelheim, Amgen, and Samsung Bioepis. In addition to competition from other companies targeting retinal indications, any products we may develop may also face competition from other types of therapies, such as gene-editing therapies and drug delivery devices.</w:t>
      </w:r>
    </w:p>
    <w:p>
      <w:pPr>
        <w:spacing w:after="0" w:line="78"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auto"/>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and received FDA approval for RVO in November 2025.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spacing w:after="0" w:line="82" w:lineRule="exact"/>
        <w:rPr>
          <w:sz w:val="20"/>
          <w:szCs w:val="20"/>
          <w:color w:val="auto"/>
        </w:rPr>
      </w:pPr>
    </w:p>
    <w:p>
      <w:pPr>
        <w:ind w:right="40" w:firstLine="490"/>
        <w:spacing w:after="0" w:line="232" w:lineRule="auto"/>
        <w:rPr>
          <w:sz w:val="20"/>
          <w:szCs w:val="20"/>
          <w:color w:val="auto"/>
        </w:rPr>
      </w:pPr>
      <w:r>
        <w:rPr>
          <w:rFonts w:ascii="Times New Roman" w:cs="Times New Roman" w:eastAsia="Times New Roman" w:hAnsi="Times New Roman"/>
          <w:sz w:val="20"/>
          <w:szCs w:val="20"/>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product candidates uneconomical or obsolete, and we may not be successful in marketing any product candidates we may develop against competitors.</w:t>
      </w:r>
    </w:p>
    <w:p>
      <w:pPr>
        <w:sectPr>
          <w:pgSz w:w="12240" w:h="15840" w:orient="portrait"/>
          <w:cols w:equalWidth="0" w:num="1">
            <w:col w:w="10160"/>
          </w:cols>
          <w:pgMar w:left="1080" w:top="1052" w:right="1000" w:bottom="175"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160"/>
          </w:cols>
          <w:pgMar w:left="1080" w:top="1052" w:right="1000" w:bottom="175"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The manufacture of our product candidates is highly complex and requires substantial lead time to produce.</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w:t>
      </w:r>
    </w:p>
    <w:p>
      <w:pPr>
        <w:spacing w:after="0" w:line="8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employ multiple steps to attempt to control our manufacturing process to assure that the process works, and the product candidate is made strictly and consistently in compliance with the process.</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w:t>
      </w:r>
    </w:p>
    <w:p>
      <w:pPr>
        <w:spacing w:after="0" w:line="8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77"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manufacturing any of our product candidates on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p>
    <w:p>
      <w:pPr>
        <w:spacing w:after="0" w:line="7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8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w:t>
      </w:r>
    </w:p>
    <w:p>
      <w:pPr>
        <w:sectPr>
          <w:pgSz w:w="12240" w:h="15840" w:orient="portrait"/>
          <w:cols w:equalWidth="0" w:num="1">
            <w:col w:w="10160"/>
          </w:cols>
          <w:pgMar w:left="1080" w:top="1060" w:right="1000" w:bottom="175"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160"/>
          </w:cols>
          <w:pgMar w:left="1080" w:top="1060" w:right="1000" w:bottom="175" w:gutter="0" w:footer="0" w:header="0"/>
          <w:type w:val="continuous"/>
        </w:sectPr>
      </w:pPr>
    </w:p>
    <w:bookmarkStart w:id="39" w:name="page40"/>
    <w:bookmarkEnd w:id="39"/>
    <w:p>
      <w:pPr>
        <w:spacing w:after="0" w:line="244" w:lineRule="auto"/>
        <w:rPr>
          <w:sz w:val="20"/>
          <w:szCs w:val="20"/>
          <w:color w:val="auto"/>
        </w:rPr>
      </w:pPr>
      <w:r>
        <w:rPr>
          <w:rFonts w:ascii="Times New Roman" w:cs="Times New Roman" w:eastAsia="Times New Roman" w:hAnsi="Times New Roman"/>
          <w:sz w:val="20"/>
          <w:szCs w:val="20"/>
          <w:color w:val="auto"/>
        </w:rPr>
        <w:t>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methods of manufacturing or formulation of product candidates may result in additional costs or delay.</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created an enhanced, commercial formulation of tarcocimab;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spacing w:after="0" w:line="20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development program and timeline of tarcocimab may impact our ability to use the Ursus Facility as intended, which could be costly.</w:t>
      </w:r>
    </w:p>
    <w:p>
      <w:pPr>
        <w:spacing w:after="0" w:line="49"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w:t>
      </w:r>
    </w:p>
    <w:p>
      <w:pPr>
        <w:spacing w:after="0" w:line="82" w:lineRule="exact"/>
        <w:rPr>
          <w:sz w:val="20"/>
          <w:szCs w:val="20"/>
          <w:color w:val="auto"/>
        </w:rPr>
      </w:pPr>
    </w:p>
    <w:p>
      <w:pPr>
        <w:ind w:right="340" w:firstLine="490"/>
        <w:spacing w:after="0" w:line="247" w:lineRule="auto"/>
        <w:rPr>
          <w:sz w:val="20"/>
          <w:szCs w:val="20"/>
          <w:color w:val="auto"/>
        </w:rPr>
      </w:pPr>
      <w:r>
        <w:rPr>
          <w:rFonts w:ascii="Times New Roman" w:cs="Times New Roman" w:eastAsia="Times New Roman" w:hAnsi="Times New Roman"/>
          <w:sz w:val="20"/>
          <w:szCs w:val="20"/>
          <w:color w:val="auto"/>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6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7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160"/>
          </w:cols>
          <w:pgMar w:left="1080" w:top="1060" w:right="1000" w:bottom="175" w:gutter="0" w:footer="0" w:header="0"/>
          <w:type w:val="continuous"/>
        </w:sectPr>
      </w:pPr>
    </w:p>
    <w:bookmarkStart w:id="40" w:name="page41"/>
    <w:bookmarkEnd w:id="40"/>
    <w:p>
      <w:pPr>
        <w:ind w:left="500"/>
        <w:spacing w:after="0"/>
        <w:rPr>
          <w:sz w:val="20"/>
          <w:szCs w:val="20"/>
          <w:color w:val="auto"/>
        </w:rPr>
      </w:pPr>
      <w:r>
        <w:rPr>
          <w:rFonts w:ascii="Times New Roman" w:cs="Times New Roman" w:eastAsia="Times New Roman" w:hAnsi="Times New Roman"/>
          <w:sz w:val="20"/>
          <w:szCs w:val="20"/>
          <w:color w:val="auto"/>
        </w:rPr>
        <w:t>Factors that may inhibit our efforts to commercialize any approved product on our own include:</w:t>
      </w:r>
    </w:p>
    <w:p>
      <w:pPr>
        <w:spacing w:after="0" w:line="133" w:lineRule="exact"/>
        <w:rPr>
          <w:sz w:val="20"/>
          <w:szCs w:val="20"/>
          <w:color w:val="auto"/>
        </w:rPr>
      </w:pPr>
    </w:p>
    <w:p>
      <w:pPr>
        <w:ind w:left="980" w:right="540" w:hanging="490"/>
        <w:spacing w:after="0" w:line="27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recruit and retain adequate numbers of effective sales, marketing, reimbursement, customer service, medical affairs and other support personnel;</w:t>
      </w:r>
    </w:p>
    <w:p>
      <w:pPr>
        <w:spacing w:after="0" w:line="64" w:lineRule="exact"/>
        <w:rPr>
          <w:rFonts w:ascii="Arial" w:cs="Arial" w:eastAsia="Arial" w:hAnsi="Arial"/>
          <w:sz w:val="20"/>
          <w:szCs w:val="20"/>
          <w:color w:val="auto"/>
        </w:rPr>
      </w:pPr>
    </w:p>
    <w:p>
      <w:pPr>
        <w:ind w:left="980" w:right="200" w:hanging="490"/>
        <w:spacing w:after="0" w:line="27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of sales personnel to obtain access to physicians or educate adequate numbers of physicians on the benefits of prescribing any future approved products;</w:t>
      </w:r>
    </w:p>
    <w:p>
      <w:pPr>
        <w:spacing w:after="0" w:line="64" w:lineRule="exact"/>
        <w:rPr>
          <w:rFonts w:ascii="Arial" w:cs="Arial" w:eastAsia="Arial" w:hAnsi="Arial"/>
          <w:sz w:val="20"/>
          <w:szCs w:val="20"/>
          <w:color w:val="auto"/>
        </w:rPr>
      </w:pPr>
    </w:p>
    <w:p>
      <w:pPr>
        <w:ind w:left="980" w:right="60" w:hanging="490"/>
        <w:spacing w:after="0" w:line="27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of reimbursement professionals to negotiate arrangements for formulary access, reimbursement, and other acceptance by payors;</w:t>
      </w:r>
    </w:p>
    <w:p>
      <w:pPr>
        <w:spacing w:after="0" w:line="64" w:lineRule="exact"/>
        <w:rPr>
          <w:rFonts w:ascii="Arial" w:cs="Arial" w:eastAsia="Arial" w:hAnsi="Arial"/>
          <w:sz w:val="20"/>
          <w:szCs w:val="20"/>
          <w:color w:val="auto"/>
        </w:rPr>
      </w:pPr>
    </w:p>
    <w:p>
      <w:pPr>
        <w:ind w:left="980" w:right="800" w:hanging="490"/>
        <w:spacing w:after="0" w:line="27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price our products at a sufficient price point to ensure an adequate and attractive level of profitability;</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restricted or closed distribution channels that make it difficult to distribute our products to segments of the patient population;</w:t>
      </w:r>
    </w:p>
    <w:p>
      <w:pPr>
        <w:spacing w:after="0" w:line="64" w:lineRule="exact"/>
        <w:rPr>
          <w:rFonts w:ascii="Arial" w:cs="Arial" w:eastAsia="Arial" w:hAnsi="Arial"/>
          <w:sz w:val="20"/>
          <w:szCs w:val="20"/>
          <w:color w:val="auto"/>
        </w:rPr>
      </w:pPr>
    </w:p>
    <w:p>
      <w:pPr>
        <w:ind w:left="980" w:right="780" w:hanging="490"/>
        <w:spacing w:after="0" w:line="27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costs and expenses associated with creating an independent commercialization organization.</w:t>
      </w:r>
    </w:p>
    <w:p>
      <w:pPr>
        <w:spacing w:after="0" w:line="111" w:lineRule="exact"/>
        <w:rPr>
          <w:sz w:val="20"/>
          <w:szCs w:val="20"/>
          <w:color w:val="auto"/>
        </w:rPr>
      </w:pPr>
    </w:p>
    <w:p>
      <w:pPr>
        <w:ind w:right="60" w:firstLine="490"/>
        <w:spacing w:after="0" w:line="236" w:lineRule="auto"/>
        <w:rPr>
          <w:sz w:val="20"/>
          <w:szCs w:val="20"/>
          <w:color w:val="auto"/>
        </w:rPr>
      </w:pPr>
      <w:r>
        <w:rPr>
          <w:rFonts w:ascii="Times New Roman" w:cs="Times New Roman" w:eastAsia="Times New Roman" w:hAnsi="Times New Roman"/>
          <w:sz w:val="20"/>
          <w:szCs w:val="20"/>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200" w:lineRule="exact"/>
        <w:rPr>
          <w:sz w:val="20"/>
          <w:szCs w:val="20"/>
          <w:color w:val="auto"/>
        </w:rPr>
      </w:pPr>
    </w:p>
    <w:p>
      <w:pPr>
        <w:jc w:val="both"/>
        <w:ind w:right="4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68" w:lineRule="exact"/>
        <w:rPr>
          <w:sz w:val="20"/>
          <w:szCs w:val="20"/>
          <w:color w:val="auto"/>
        </w:rPr>
      </w:pPr>
    </w:p>
    <w:p>
      <w:pPr>
        <w:ind w:right="20" w:firstLine="490"/>
        <w:spacing w:after="0" w:line="239" w:lineRule="auto"/>
        <w:rPr>
          <w:sz w:val="20"/>
          <w:szCs w:val="20"/>
          <w:color w:val="auto"/>
        </w:rPr>
      </w:pPr>
      <w:r>
        <w:rPr>
          <w:rFonts w:ascii="Times New Roman" w:cs="Times New Roman" w:eastAsia="Times New Roman" w:hAnsi="Times New Roman"/>
          <w:sz w:val="20"/>
          <w:szCs w:val="20"/>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99" w:lineRule="exact"/>
        <w:rPr>
          <w:sz w:val="20"/>
          <w:szCs w:val="20"/>
          <w:color w:val="auto"/>
        </w:rPr>
      </w:pPr>
    </w:p>
    <w:p>
      <w:pPr>
        <w:ind w:left="980" w:right="20" w:hanging="490"/>
        <w:spacing w:after="0" w:line="276"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of such product candidates as demonstrated in pivotal clinical trials and published in peer-reviewed journals;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and perceived advantages of our product label as compared to alternative treatments;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offer our products for sale at competitive prices;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offer appropriate patient access programs, such as appropriate co-pay assistance;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physicians recommend our products to their patients;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convenience and ease of dosing and administration compared to alternative treatments;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the product candidate is approved by FDA, EMA or other regulatory agencies;</w:t>
      </w:r>
    </w:p>
    <w:p>
      <w:pPr>
        <w:spacing w:after="0" w:line="133" w:lineRule="exact"/>
        <w:rPr>
          <w:rFonts w:ascii="Arial" w:cs="Arial" w:eastAsia="Arial" w:hAnsi="Arial"/>
          <w:sz w:val="20"/>
          <w:szCs w:val="20"/>
          <w:color w:val="auto"/>
        </w:rPr>
      </w:pPr>
    </w:p>
    <w:p>
      <w:pPr>
        <w:ind w:left="980" w:right="160" w:hanging="490"/>
        <w:spacing w:after="0" w:line="304" w:lineRule="auto"/>
        <w:tabs>
          <w:tab w:leader="none" w:pos="98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product labeling or product insert requirements of the FDA, EMA or other comparable foreign regulatory authorities, including any limitations, contraindications or warnings contained in a product’s approved labeling;</w:t>
      </w:r>
    </w:p>
    <w:p>
      <w:pPr>
        <w:spacing w:after="0" w:line="39" w:lineRule="exact"/>
        <w:rPr>
          <w:rFonts w:ascii="Arial" w:cs="Arial" w:eastAsia="Arial" w:hAnsi="Arial"/>
          <w:sz w:val="19"/>
          <w:szCs w:val="19"/>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how the product is distributed;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market introduction of competitive products;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publicity concerning our products or competing products and treatments;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marketing and distribution support;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sufficient third-party coverage or reimbursement;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ectPr>
          <w:pgSz w:w="12240" w:h="15840" w:orient="portrait"/>
          <w:cols w:equalWidth="0" w:num="1">
            <w:col w:w="10080"/>
          </w:cols>
          <w:pgMar w:left="1080" w:top="1052" w:right="1080" w:bottom="175" w:gutter="0" w:footer="0" w:header="0"/>
        </w:sect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052" w:right="1080" w:bottom="175" w:gutter="0" w:footer="0" w:header="0"/>
          <w:type w:val="continuous"/>
        </w:sectPr>
      </w:pPr>
    </w:p>
    <w:bookmarkStart w:id="41" w:name="page42"/>
    <w:bookmarkEnd w:id="41"/>
    <w:p>
      <w:pPr>
        <w:ind w:right="220" w:firstLine="490"/>
        <w:spacing w:after="0" w:line="267" w:lineRule="auto"/>
        <w:rPr>
          <w:sz w:val="20"/>
          <w:szCs w:val="20"/>
          <w:color w:val="auto"/>
        </w:rPr>
      </w:pPr>
      <w:r>
        <w:rPr>
          <w:rFonts w:ascii="Times New Roman" w:cs="Times New Roman" w:eastAsia="Times New Roman" w:hAnsi="Times New Roman"/>
          <w:sz w:val="20"/>
          <w:szCs w:val="20"/>
          <w:color w:val="auto"/>
        </w:rPr>
        <w:t>If any product candidates we develop do not achieve an adequate level of acceptance, we may not generate significant product revenue, and we may not become profitable.</w:t>
      </w:r>
    </w:p>
    <w:p>
      <w:pPr>
        <w:spacing w:after="0" w:line="169"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9"/>
          <w:szCs w:val="19"/>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26" w:lineRule="exact"/>
        <w:rPr>
          <w:sz w:val="20"/>
          <w:szCs w:val="20"/>
          <w:color w:val="auto"/>
        </w:rPr>
      </w:pPr>
    </w:p>
    <w:p>
      <w:pPr>
        <w:ind w:right="100" w:firstLine="490"/>
        <w:spacing w:after="0" w:line="233" w:lineRule="auto"/>
        <w:rPr>
          <w:sz w:val="20"/>
          <w:szCs w:val="20"/>
          <w:color w:val="auto"/>
        </w:rPr>
      </w:pPr>
      <w:r>
        <w:rPr>
          <w:rFonts w:ascii="Times New Roman" w:cs="Times New Roman" w:eastAsia="Times New Roman" w:hAnsi="Times New Roman"/>
          <w:sz w:val="20"/>
          <w:szCs w:val="20"/>
          <w:color w:val="auto"/>
        </w:rPr>
        <w:t>Drug pricing and access policies in the United States and internationally may change and negatively impact the commercial viability of our product candidates. Proposed policy changes, including the Medicare Drug Price Negotiation Program,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83"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86" w:lineRule="exact"/>
        <w:rPr>
          <w:sz w:val="20"/>
          <w:szCs w:val="20"/>
          <w:color w:val="auto"/>
        </w:rPr>
      </w:pPr>
    </w:p>
    <w:p>
      <w:pPr>
        <w:ind w:right="20" w:firstLine="490"/>
        <w:spacing w:after="0" w:line="235" w:lineRule="auto"/>
        <w:rPr>
          <w:sz w:val="20"/>
          <w:szCs w:val="20"/>
          <w:color w:val="auto"/>
        </w:rPr>
      </w:pPr>
      <w:r>
        <w:rPr>
          <w:rFonts w:ascii="Times New Roman" w:cs="Times New Roman" w:eastAsia="Times New Roman" w:hAnsi="Times New Roman"/>
          <w:sz w:val="20"/>
          <w:szCs w:val="20"/>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77" w:lineRule="exact"/>
        <w:rPr>
          <w:sz w:val="20"/>
          <w:szCs w:val="20"/>
          <w:color w:val="auto"/>
        </w:rPr>
      </w:pPr>
    </w:p>
    <w:p>
      <w:pPr>
        <w:ind w:right="20" w:firstLine="490"/>
        <w:spacing w:after="0" w:line="233" w:lineRule="auto"/>
        <w:rPr>
          <w:sz w:val="20"/>
          <w:szCs w:val="20"/>
          <w:color w:val="auto"/>
        </w:rPr>
      </w:pPr>
      <w:r>
        <w:rPr>
          <w:rFonts w:ascii="Times New Roman" w:cs="Times New Roman" w:eastAsia="Times New Roman" w:hAnsi="Times New Roman"/>
          <w:sz w:val="20"/>
          <w:szCs w:val="20"/>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ectPr>
          <w:pgSz w:w="12240" w:h="15840" w:orient="portrait"/>
          <w:cols w:equalWidth="0" w:num="1">
            <w:col w:w="10160"/>
          </w:cols>
          <w:pgMar w:left="1080" w:top="1052"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160"/>
          </w:cols>
          <w:pgMar w:left="1080" w:top="1052" w:right="1000" w:bottom="175" w:gutter="0" w:footer="0" w:header="0"/>
          <w:type w:val="continuous"/>
        </w:sectPr>
      </w:pPr>
    </w:p>
    <w:bookmarkStart w:id="42" w:name="page43"/>
    <w:bookmarkEnd w:id="42"/>
    <w:p>
      <w:pPr>
        <w:ind w:right="2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face competition from biological products that are biosimilar to or interchangeable with our product candidates sooner than anticipated.</w:t>
      </w:r>
    </w:p>
    <w:p>
      <w:pPr>
        <w:spacing w:after="0" w:line="49" w:lineRule="exact"/>
        <w:rPr>
          <w:sz w:val="20"/>
          <w:szCs w:val="20"/>
          <w:color w:val="auto"/>
        </w:rPr>
      </w:pPr>
    </w:p>
    <w:p>
      <w:pPr>
        <w:ind w:right="200" w:firstLine="490"/>
        <w:spacing w:after="0" w:line="235"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77" w:lineRule="exact"/>
        <w:rPr>
          <w:sz w:val="20"/>
          <w:szCs w:val="20"/>
          <w:color w:val="auto"/>
        </w:rPr>
      </w:pPr>
    </w:p>
    <w:p>
      <w:pPr>
        <w:ind w:right="140" w:firstLine="490"/>
        <w:spacing w:after="0" w:line="235" w:lineRule="auto"/>
        <w:rPr>
          <w:sz w:val="20"/>
          <w:szCs w:val="20"/>
          <w:color w:val="auto"/>
        </w:rPr>
      </w:pPr>
      <w:r>
        <w:rPr>
          <w:rFonts w:ascii="Times New Roman" w:cs="Times New Roman" w:eastAsia="Times New Roman" w:hAnsi="Times New Roman"/>
          <w:sz w:val="20"/>
          <w:szCs w:val="20"/>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02"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our product candidates.</w:t>
      </w:r>
    </w:p>
    <w:p>
      <w:pPr>
        <w:spacing w:after="0" w:line="48"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99" w:lineRule="exact"/>
        <w:rPr>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or interrupted demand for our products;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impairment of our business reputation;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 and inability to continue clinical trials;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initiation of investigations by regulators;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costs to defend the related litigation;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 diversion of management’s time and our resources;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exhaustion of any available insurance and our capital resources;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 candidate;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 decline in our share price.</w:t>
      </w:r>
    </w:p>
    <w:p>
      <w:pPr>
        <w:spacing w:after="0" w:line="112" w:lineRule="exact"/>
        <w:rPr>
          <w:sz w:val="20"/>
          <w:szCs w:val="20"/>
          <w:color w:val="auto"/>
        </w:rPr>
      </w:pPr>
    </w:p>
    <w:p>
      <w:pPr>
        <w:ind w:right="220" w:firstLine="490"/>
        <w:spacing w:after="0" w:line="237" w:lineRule="auto"/>
        <w:rPr>
          <w:sz w:val="20"/>
          <w:szCs w:val="20"/>
          <w:color w:val="auto"/>
        </w:rPr>
      </w:pPr>
      <w:r>
        <w:rPr>
          <w:rFonts w:ascii="Times New Roman" w:cs="Times New Roman" w:eastAsia="Times New Roman" w:hAnsi="Times New Roman"/>
          <w:sz w:val="20"/>
          <w:szCs w:val="20"/>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ectPr>
          <w:pgSz w:w="12240" w:h="15840" w:orient="portrait"/>
          <w:cols w:equalWidth="0" w:num="1">
            <w:col w:w="10160"/>
          </w:cols>
          <w:pgMar w:left="1080" w:top="1052" w:right="1000" w:bottom="175"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160"/>
          </w:cols>
          <w:pgMar w:left="1080" w:top="1052" w:right="1000" w:bottom="175"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Approval and Other Legal Compliance Matters</w:t>
      </w:r>
    </w:p>
    <w:p>
      <w:pPr>
        <w:spacing w:after="0" w:line="10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European Medicines Agency, or EMA, and comparable foreign regulatory authorities are lengthy, time consuming, expensive and inherently unpredictable. If we are ultimately unable to obtain regulatory approval for our product candidates, we will be unable to generate product revenue and our business will be substantially harmed.</w:t>
      </w:r>
    </w:p>
    <w:p>
      <w:pPr>
        <w:spacing w:after="0" w:line="63"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19"/>
          <w:szCs w:val="19"/>
          <w:color w:val="auto"/>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66"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auto"/>
        </w:rPr>
        <w:t>Applications for our product candidates could fail to receive regulatory approval for many reasons, including but not limited to the following:</w:t>
      </w:r>
    </w:p>
    <w:p>
      <w:pPr>
        <w:spacing w:after="0" w:line="82" w:lineRule="exact"/>
        <w:rPr>
          <w:sz w:val="20"/>
          <w:szCs w:val="20"/>
          <w:color w:val="auto"/>
        </w:rPr>
      </w:pPr>
    </w:p>
    <w:p>
      <w:pPr>
        <w:ind w:left="980" w:right="400" w:hanging="490"/>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FDA, EMA or comparable foreign regulatory authorities may disagree with the design, implementation or results of our clinical trials or the portfolio of clinical trials planned for submission in our BLA;</w:t>
      </w:r>
    </w:p>
    <w:p>
      <w:pPr>
        <w:spacing w:after="0" w:line="64" w:lineRule="exact"/>
        <w:rPr>
          <w:rFonts w:ascii="Arial" w:cs="Arial" w:eastAsia="Arial" w:hAnsi="Arial"/>
          <w:sz w:val="20"/>
          <w:szCs w:val="20"/>
          <w:color w:val="auto"/>
        </w:rPr>
      </w:pPr>
    </w:p>
    <w:p>
      <w:pPr>
        <w:ind w:left="980" w:right="60" w:hanging="490"/>
        <w:spacing w:after="0" w:line="258"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81" w:lineRule="exact"/>
        <w:rPr>
          <w:rFonts w:ascii="Arial" w:cs="Arial" w:eastAsia="Arial" w:hAnsi="Arial"/>
          <w:sz w:val="20"/>
          <w:szCs w:val="20"/>
          <w:color w:val="auto"/>
        </w:rPr>
      </w:pPr>
    </w:p>
    <w:p>
      <w:pPr>
        <w:ind w:left="980" w:right="280" w:hanging="490"/>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program may not be sufficiently broad or representative to assure efficacy and safety in the full population for which we seek approval;</w:t>
      </w:r>
    </w:p>
    <w:p>
      <w:pPr>
        <w:spacing w:after="0" w:line="64" w:lineRule="exact"/>
        <w:rPr>
          <w:rFonts w:ascii="Arial" w:cs="Arial" w:eastAsia="Arial" w:hAnsi="Arial"/>
          <w:sz w:val="20"/>
          <w:szCs w:val="20"/>
          <w:color w:val="auto"/>
        </w:rPr>
      </w:pPr>
    </w:p>
    <w:p>
      <w:pPr>
        <w:ind w:left="980" w:right="120" w:hanging="490"/>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FDA, EMA or comparable foreign regulatory authorities that a product candidate’s risk-benefit ratio for its proposed indication(s), when compared to the standard of care, is acceptable;</w:t>
      </w:r>
    </w:p>
    <w:p>
      <w:pPr>
        <w:spacing w:after="0" w:line="64" w:lineRule="exact"/>
        <w:rPr>
          <w:rFonts w:ascii="Arial" w:cs="Arial" w:eastAsia="Arial" w:hAnsi="Arial"/>
          <w:sz w:val="20"/>
          <w:szCs w:val="20"/>
          <w:color w:val="auto"/>
        </w:rPr>
      </w:pPr>
    </w:p>
    <w:p>
      <w:pPr>
        <w:ind w:left="980" w:right="340" w:hanging="490"/>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FDA, EMA or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auto"/>
        </w:rPr>
      </w:pPr>
    </w:p>
    <w:p>
      <w:pPr>
        <w:ind w:left="980" w:right="100" w:hanging="490"/>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 BLA or other submission or to obtain regulatory approval in the United States or elsewhere;</w:t>
      </w:r>
    </w:p>
    <w:p>
      <w:pPr>
        <w:spacing w:after="0" w:line="64" w:lineRule="exact"/>
        <w:rPr>
          <w:rFonts w:ascii="Arial" w:cs="Arial" w:eastAsia="Arial" w:hAnsi="Arial"/>
          <w:sz w:val="20"/>
          <w:szCs w:val="20"/>
          <w:color w:val="auto"/>
        </w:rPr>
      </w:pPr>
    </w:p>
    <w:p>
      <w:pPr>
        <w:ind w:left="980" w:right="520" w:hanging="490"/>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study data may not be positive in all clinical trials demonstrating a mix of positive and negative clinical trial results;</w:t>
      </w:r>
    </w:p>
    <w:p>
      <w:pPr>
        <w:spacing w:after="0" w:line="64" w:lineRule="exact"/>
        <w:rPr>
          <w:rFonts w:ascii="Arial" w:cs="Arial" w:eastAsia="Arial" w:hAnsi="Arial"/>
          <w:sz w:val="20"/>
          <w:szCs w:val="20"/>
          <w:color w:val="auto"/>
        </w:rPr>
      </w:pPr>
    </w:p>
    <w:p>
      <w:pPr>
        <w:ind w:left="980" w:hanging="490"/>
        <w:spacing w:after="0" w:line="258"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FDA, EMA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81" w:lineRule="exact"/>
        <w:rPr>
          <w:rFonts w:ascii="Arial" w:cs="Arial" w:eastAsia="Arial" w:hAnsi="Arial"/>
          <w:sz w:val="20"/>
          <w:szCs w:val="20"/>
          <w:color w:val="auto"/>
        </w:rPr>
      </w:pPr>
    </w:p>
    <w:p>
      <w:pPr>
        <w:ind w:left="980" w:right="860" w:hanging="490"/>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EMA or comparable foreign regulatory authorities may significantly change in a manner rendering our clinical data insufficient for approval.</w:t>
      </w:r>
    </w:p>
    <w:p>
      <w:pPr>
        <w:spacing w:after="0" w:line="31" w:lineRule="exact"/>
        <w:rPr>
          <w:sz w:val="20"/>
          <w:szCs w:val="20"/>
          <w:color w:val="auto"/>
        </w:rPr>
      </w:pPr>
    </w:p>
    <w:p>
      <w:pPr>
        <w:ind w:right="140" w:firstLine="490"/>
        <w:spacing w:after="0" w:line="236" w:lineRule="auto"/>
        <w:rPr>
          <w:sz w:val="20"/>
          <w:szCs w:val="20"/>
          <w:color w:val="auto"/>
        </w:rPr>
      </w:pPr>
      <w:r>
        <w:rPr>
          <w:rFonts w:ascii="Times New Roman" w:cs="Times New Roman" w:eastAsia="Times New Roman" w:hAnsi="Times New Roman"/>
          <w:sz w:val="20"/>
          <w:szCs w:val="20"/>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83" w:lineRule="exact"/>
        <w:rPr>
          <w:sz w:val="20"/>
          <w:szCs w:val="20"/>
          <w:color w:val="auto"/>
        </w:rPr>
      </w:pPr>
    </w:p>
    <w:p>
      <w:pPr>
        <w:jc w:val="both"/>
        <w:ind w:right="34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have conducted clinical trials for our product candidates outside the United States (or the respective jurisdictions of other regulatory authorities), and the FDA (or EMA and applicable foreign regulatory authorities) may not accept data from such trials.</w:t>
      </w:r>
    </w:p>
    <w:p>
      <w:pPr>
        <w:spacing w:after="0" w:line="63" w:lineRule="exact"/>
        <w:rPr>
          <w:sz w:val="20"/>
          <w:szCs w:val="20"/>
          <w:color w:val="auto"/>
        </w:rPr>
      </w:pPr>
    </w:p>
    <w:p>
      <w:pPr>
        <w:ind w:right="20" w:firstLine="490"/>
        <w:spacing w:after="0" w:line="221" w:lineRule="auto"/>
        <w:rPr>
          <w:sz w:val="20"/>
          <w:szCs w:val="20"/>
          <w:color w:val="auto"/>
        </w:rPr>
      </w:pPr>
      <w:r>
        <w:rPr>
          <w:rFonts w:ascii="Times New Roman" w:cs="Times New Roman" w:eastAsia="Times New Roman" w:hAnsi="Times New Roman"/>
          <w:sz w:val="20"/>
          <w:szCs w:val="20"/>
          <w:color w:val="auto"/>
        </w:rPr>
        <w:t>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w:t>
      </w:r>
    </w:p>
    <w:p>
      <w:pPr>
        <w:sectPr>
          <w:pgSz w:w="12240" w:h="15840" w:orient="portrait"/>
          <w:cols w:equalWidth="0" w:num="1">
            <w:col w:w="10160"/>
          </w:cols>
          <w:pgMar w:left="1080" w:top="1037" w:right="1000" w:bottom="175" w:gutter="0" w:footer="0" w:header="0"/>
        </w:sect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160"/>
          </w:cols>
          <w:pgMar w:left="1080" w:top="1037" w:right="1000" w:bottom="175" w:gutter="0" w:footer="0" w:header="0"/>
          <w:type w:val="continuous"/>
        </w:sectPr>
      </w:pPr>
    </w:p>
    <w:bookmarkStart w:id="44" w:name="page45"/>
    <w:bookmarkEnd w:id="44"/>
    <w:p>
      <w:pPr>
        <w:ind w:right="240"/>
        <w:spacing w:after="0" w:line="253" w:lineRule="auto"/>
        <w:rPr>
          <w:sz w:val="20"/>
          <w:szCs w:val="20"/>
          <w:color w:val="auto"/>
        </w:rPr>
      </w:pPr>
      <w:r>
        <w:rPr>
          <w:rFonts w:ascii="Times New Roman" w:cs="Times New Roman" w:eastAsia="Times New Roman" w:hAnsi="Times New Roman"/>
          <w:sz w:val="20"/>
          <w:szCs w:val="20"/>
          <w:color w:val="auto"/>
        </w:rPr>
        <w:t>be costly and time-consuming, would delay aspects of our business plan and which may result in our product candidates not receiving approval or clearance for commercialization in the applicable jurisdiction.</w:t>
      </w:r>
    </w:p>
    <w:p>
      <w:pPr>
        <w:spacing w:after="0" w:line="18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86"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9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for a product candidate, our products will remain subject to extensive obligations and continued regulatory review, which may result in significant additional expense, and we may be subject to penalties if we fail to comply with regulatory requirements.</w:t>
      </w:r>
    </w:p>
    <w:p>
      <w:pPr>
        <w:spacing w:after="0" w:line="6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7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8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88"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ectPr>
          <w:pgSz w:w="12240" w:h="15840" w:orient="portrait"/>
          <w:cols w:equalWidth="0" w:num="1">
            <w:col w:w="10160"/>
          </w:cols>
          <w:pgMar w:left="1080" w:top="1041" w:right="1000" w:bottom="175"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160"/>
          </w:cols>
          <w:pgMar w:left="1080" w:top="1041" w:right="1000" w:bottom="175" w:gutter="0" w:footer="0" w:header="0"/>
          <w:type w:val="continuous"/>
        </w:sectPr>
      </w:pPr>
    </w:p>
    <w:bookmarkStart w:id="45" w:name="page46"/>
    <w:bookmarkEnd w:id="45"/>
    <w:p>
      <w:pPr>
        <w:ind w:left="980" w:hanging="490"/>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issue fines, warning letters or other enforcement-related letters that would result in adverse publicity;</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impose civil or criminal penalties;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suspend or withdraw regulatory approvals;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suspend any of our on-going clinical trials;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approve pending applications or supplements to approved applications submitted by us;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impose restrictions on our operations, including closing our contract manufacturers’ facilities;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seize or detain products; or</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require a product recall.</w:t>
      </w:r>
    </w:p>
    <w:p>
      <w:pPr>
        <w:spacing w:after="0" w:line="11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 xml:space="preserve">In addition, the policies of the FDA and of other regulatory authorities may change and additional government regulations may be enacted that could prevent, limit or delay regulatory approval of our product candidates. For example, the U.S. Supreme Court’s June 2024 decision in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xml:space="preserve"> overturned the longstanding Chevron doctrine, under which courts were required to give deference to regulatory agencies’ reasonable interpretations of ambiguous federal statutes. The </w:t>
      </w:r>
      <w:r>
        <w:rPr>
          <w:rFonts w:ascii="Times New Roman" w:cs="Times New Roman" w:eastAsia="Times New Roman" w:hAnsi="Times New Roman"/>
          <w:sz w:val="20"/>
          <w:szCs w:val="20"/>
          <w:i w:val="1"/>
          <w:iCs w:val="1"/>
          <w:color w:val="auto"/>
        </w:rPr>
        <w:t>Loper</w:t>
      </w:r>
      <w:r>
        <w:rPr>
          <w:rFonts w:ascii="Times New Roman" w:cs="Times New Roman" w:eastAsia="Times New Roman" w:hAnsi="Times New Roman"/>
          <w:sz w:val="20"/>
          <w:szCs w:val="20"/>
          <w:color w:val="auto"/>
        </w:rPr>
        <w:t xml:space="preserve"> decision could result in additional legal challenges to regulations and decisions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20"/>
          <w:szCs w:val="20"/>
          <w:i w:val="1"/>
          <w:iCs w:val="1"/>
          <w:color w:val="auto"/>
        </w:rPr>
        <w:t>Loper</w:t>
      </w:r>
      <w:r>
        <w:rPr>
          <w:rFonts w:ascii="Times New Roman" w:cs="Times New Roman" w:eastAsia="Times New Roman" w:hAnsi="Times New Roman"/>
          <w:sz w:val="20"/>
          <w:szCs w:val="20"/>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6"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and regulatory authorities caused by funding shortages or a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ability of the FDA and comparable foreign regulatory authorities to review and approve new products can be affected by a variety of factors, including government budget and funding levels, government shutdowns,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the recent government shutdown that began on October 1, 2025 and ended on November 12, 2025, and previously from December 22, 2018 to January 25, 2019, the U.S. government has shut down several times and certain regulatory agencies, such as the FDA and the SEC, have had to furlough critical FDA, SEC and other government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w:t>
      </w:r>
    </w:p>
    <w:p>
      <w:pPr>
        <w:sectPr>
          <w:pgSz w:w="12240" w:h="15840" w:orient="portrait"/>
          <w:cols w:equalWidth="0" w:num="1">
            <w:col w:w="10160"/>
          </w:cols>
          <w:pgMar w:left="1080" w:top="1074"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160"/>
          </w:cols>
          <w:pgMar w:left="1080" w:top="1074" w:right="1000" w:bottom="175" w:gutter="0" w:footer="0" w:header="0"/>
          <w:type w:val="continuous"/>
        </w:sectPr>
      </w:pPr>
    </w:p>
    <w:bookmarkStart w:id="46" w:name="page47"/>
    <w:bookmarkEnd w:id="46"/>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legislative measures aimed at reducing healthcare costs may have a material adverse effect on our business and results of operations.</w:t>
      </w:r>
    </w:p>
    <w:p>
      <w:pPr>
        <w:spacing w:after="0" w:line="49"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substantially changed the way healthcare is financed by both governmental and private insurers.</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Since the ACA’s enactment, there have been numerous challenges and amendments to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82"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ACA was enacted. These changes include, for example, aggregate reductions to Medicare payments to providers of 2% per fiscal year, which began in 2013 and will remain in effect until 2032 unless additional Congressional action is taken.</w:t>
      </w:r>
    </w:p>
    <w:p>
      <w:pPr>
        <w:spacing w:after="0" w:line="61"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auto"/>
        </w:rPr>
        <w:t>There have been, and likely will continue to be, legislative and regulatory proposals at the foreign, federal and state levels directed at containing or lowering the cost of healthcare. For example, the current administration is pursuing policies to reduce regulations and expenditures across government agencies including at HHS, the FDA, the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80"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4"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We cannot predict the initiatives that may be adopted in the future or their impact on our business. The continuing efforts of the government, insurance companies, managed care organizations and other payors of healthcare services to contain or reduce costs of healthcare and/or impose price controls may adversely affect, among other things:</w:t>
      </w:r>
    </w:p>
    <w:p>
      <w:pPr>
        <w:spacing w:after="0" w:line="90" w:lineRule="exact"/>
        <w:rPr>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demand for our product candidates, if we obtain regulatory approval;</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receive or set a price that we believe is fair for our products;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 and achieve or maintain profitability;</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160"/>
          </w:cols>
          <w:pgMar w:left="1080" w:top="1060" w:right="1000" w:bottom="175" w:gutter="0" w:footer="0" w:header="0"/>
          <w:type w:val="continuous"/>
        </w:sectPr>
      </w:pPr>
    </w:p>
    <w:bookmarkStart w:id="47" w:name="page48"/>
    <w:bookmarkEnd w:id="47"/>
    <w:p>
      <w:pPr>
        <w:ind w:right="4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66" w:lineRule="exact"/>
        <w:rPr>
          <w:sz w:val="20"/>
          <w:szCs w:val="20"/>
          <w:color w:val="auto"/>
        </w:rPr>
      </w:pPr>
    </w:p>
    <w:p>
      <w:pPr>
        <w:ind w:right="60" w:firstLine="490"/>
        <w:spacing w:after="0" w:line="232" w:lineRule="auto"/>
        <w:rPr>
          <w:sz w:val="20"/>
          <w:szCs w:val="20"/>
          <w:color w:val="auto"/>
        </w:rPr>
      </w:pPr>
      <w:r>
        <w:rPr>
          <w:rFonts w:ascii="Times New Roman" w:cs="Times New Roman" w:eastAsia="Times New Roman" w:hAnsi="Times New Roman"/>
          <w:sz w:val="20"/>
          <w:szCs w:val="20"/>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90" w:lineRule="exact"/>
        <w:rPr>
          <w:sz w:val="20"/>
          <w:szCs w:val="20"/>
          <w:color w:val="auto"/>
        </w:rPr>
      </w:pPr>
    </w:p>
    <w:p>
      <w:pPr>
        <w:ind w:firstLine="490"/>
        <w:spacing w:after="0" w:line="237"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healthcare laws, we could face substantial penalties and our business, operations and financial conditions could be adversely affected.</w:t>
      </w:r>
    </w:p>
    <w:p>
      <w:pPr>
        <w:spacing w:after="0" w:line="4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96" w:lineRule="exact"/>
        <w:rPr>
          <w:sz w:val="20"/>
          <w:szCs w:val="20"/>
          <w:color w:val="auto"/>
        </w:rPr>
      </w:pPr>
    </w:p>
    <w:p>
      <w:pPr>
        <w:ind w:left="980" w:right="80" w:hanging="490"/>
        <w:spacing w:after="0" w:line="24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99" w:lineRule="exact"/>
        <w:rPr>
          <w:rFonts w:ascii="Arial" w:cs="Arial" w:eastAsia="Arial" w:hAnsi="Arial"/>
          <w:sz w:val="20"/>
          <w:szCs w:val="20"/>
          <w:color w:val="auto"/>
        </w:rPr>
      </w:pPr>
    </w:p>
    <w:p>
      <w:pPr>
        <w:ind w:left="980" w:right="40" w:hanging="490"/>
        <w:spacing w:after="0" w:line="247"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93" w:lineRule="exact"/>
        <w:rPr>
          <w:rFonts w:ascii="Arial" w:cs="Arial" w:eastAsia="Arial" w:hAnsi="Arial"/>
          <w:sz w:val="20"/>
          <w:szCs w:val="20"/>
          <w:color w:val="auto"/>
        </w:rPr>
      </w:pPr>
    </w:p>
    <w:p>
      <w:pPr>
        <w:ind w:left="980" w:right="20" w:hanging="490"/>
        <w:spacing w:after="0" w:line="246"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HIPAA, which created new federal criminal statutes that, among other things,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w:t>
      </w:r>
    </w:p>
    <w:p>
      <w:pPr>
        <w:sectPr>
          <w:pgSz w:w="12240" w:h="15840" w:orient="portrait"/>
          <w:cols w:equalWidth="0" w:num="1">
            <w:col w:w="10120"/>
          </w:cols>
          <w:pgMar w:left="1080" w:top="1052" w:right="10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120"/>
          </w:cols>
          <w:pgMar w:left="1080" w:top="1052" w:right="1040" w:bottom="175" w:gutter="0" w:footer="0" w:header="0"/>
          <w:type w:val="continuous"/>
        </w:sectPr>
      </w:pPr>
    </w:p>
    <w:bookmarkStart w:id="48" w:name="page49"/>
    <w:bookmarkEnd w:id="48"/>
    <w:p>
      <w:pPr>
        <w:ind w:left="980" w:right="380"/>
        <w:spacing w:after="0" w:line="277" w:lineRule="auto"/>
        <w:rPr>
          <w:sz w:val="20"/>
          <w:szCs w:val="20"/>
          <w:color w:val="auto"/>
        </w:rPr>
      </w:pPr>
      <w:r>
        <w:rPr>
          <w:rFonts w:ascii="Times New Roman" w:cs="Times New Roman" w:eastAsia="Times New Roman" w:hAnsi="Times New Roman"/>
          <w:sz w:val="20"/>
          <w:szCs w:val="20"/>
          <w:color w:val="auto"/>
        </w:rPr>
        <w:t>need to have actual knowledge of these statutes or specific intent to violate them in order to have committed a violation;</w:t>
      </w:r>
    </w:p>
    <w:p>
      <w:pPr>
        <w:spacing w:after="0" w:line="64" w:lineRule="exact"/>
        <w:rPr>
          <w:sz w:val="20"/>
          <w:szCs w:val="20"/>
          <w:color w:val="auto"/>
        </w:rPr>
      </w:pPr>
    </w:p>
    <w:p>
      <w:pPr>
        <w:ind w:left="980" w:right="160" w:hanging="490"/>
        <w:spacing w:after="0" w:line="249"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90" w:lineRule="exact"/>
        <w:rPr>
          <w:rFonts w:ascii="Arial" w:cs="Arial" w:eastAsia="Arial" w:hAnsi="Arial"/>
          <w:sz w:val="20"/>
          <w:szCs w:val="20"/>
          <w:color w:val="auto"/>
        </w:rPr>
      </w:pPr>
    </w:p>
    <w:p>
      <w:pPr>
        <w:ind w:left="980" w:right="120" w:hanging="490"/>
        <w:spacing w:after="0" w:line="24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w:t>
      </w:r>
    </w:p>
    <w:p>
      <w:pPr>
        <w:spacing w:after="0" w:line="93" w:lineRule="exact"/>
        <w:rPr>
          <w:rFonts w:ascii="Arial" w:cs="Arial" w:eastAsia="Arial" w:hAnsi="Arial"/>
          <w:sz w:val="20"/>
          <w:szCs w:val="20"/>
          <w:color w:val="auto"/>
        </w:rPr>
      </w:pPr>
    </w:p>
    <w:p>
      <w:pPr>
        <w:ind w:left="980" w:right="560" w:hanging="490"/>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64" w:lineRule="exact"/>
        <w:rPr>
          <w:rFonts w:ascii="Arial" w:cs="Arial" w:eastAsia="Arial" w:hAnsi="Arial"/>
          <w:sz w:val="20"/>
          <w:szCs w:val="20"/>
          <w:color w:val="auto"/>
        </w:rPr>
      </w:pPr>
    </w:p>
    <w:p>
      <w:pPr>
        <w:ind w:left="980" w:right="20" w:hanging="490"/>
        <w:spacing w:after="0" w:line="243"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and local laws that require certain regulatory licenses to manufacture or distribute our products commercially and/or the registration of pharmaceutical sales representatives;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7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19"/>
          <w:szCs w:val="19"/>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and the third parties with whom we work are subject to stringent and evolving obligations related to data privacy and security. These obligations include U.S. and foreign laws, regulations and rules; contractual obligations; industry standards and policies. Our (or the third parties with whom we work)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spacing w:after="0" w:line="80" w:lineRule="exact"/>
        <w:rPr>
          <w:sz w:val="20"/>
          <w:szCs w:val="20"/>
          <w:color w:val="auto"/>
        </w:rPr>
      </w:pPr>
    </w:p>
    <w:p>
      <w:pPr>
        <w:ind w:firstLine="490"/>
        <w:spacing w:after="0" w:line="236" w:lineRule="auto"/>
        <w:rPr>
          <w:sz w:val="20"/>
          <w:szCs w:val="20"/>
          <w:color w:val="auto"/>
        </w:rPr>
      </w:pPr>
      <w:r>
        <w:rPr>
          <w:rFonts w:ascii="Times New Roman" w:cs="Times New Roman" w:eastAsia="Times New Roman" w:hAnsi="Times New Roman"/>
          <w:sz w:val="20"/>
          <w:szCs w:val="20"/>
          <w:color w:val="auto"/>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(collectively, sensitive information). Our data processing activities subject us to numerous data privacy and security obligations such as various laws and regulations, as well as guidance, industry standards, external and internal privacy and security policies, contractual requirements, and other obligations related to data privacy and security. Data privacy and security laws and regulations are evolving and resulting in increased regulatory and public scrutiny and escalating levels of enforcement and sanctions.</w:t>
      </w:r>
    </w:p>
    <w:p>
      <w:pPr>
        <w:sectPr>
          <w:pgSz w:w="12240" w:h="15840" w:orient="portrait"/>
          <w:cols w:equalWidth="0" w:num="1">
            <w:col w:w="10160"/>
          </w:cols>
          <w:pgMar w:left="1080" w:top="1060" w:right="1000" w:bottom="175"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160"/>
          </w:cols>
          <w:pgMar w:left="1080" w:top="1060" w:right="1000" w:bottom="175" w:gutter="0" w:footer="0" w:header="0"/>
          <w:type w:val="continuous"/>
        </w:sectPr>
      </w:pPr>
    </w:p>
    <w:bookmarkStart w:id="49" w:name="page50"/>
    <w:bookmarkEnd w:id="49"/>
    <w:p>
      <w:pPr>
        <w:ind w:firstLine="490"/>
        <w:spacing w:after="0" w:line="232" w:lineRule="auto"/>
        <w:rPr>
          <w:sz w:val="20"/>
          <w:szCs w:val="20"/>
          <w:color w:val="auto"/>
        </w:rPr>
      </w:pPr>
      <w:r>
        <w:rPr>
          <w:rFonts w:ascii="Times New Roman" w:cs="Times New Roman" w:eastAsia="Times New Roman" w:hAnsi="Times New Roman"/>
          <w:sz w:val="20"/>
          <w:szCs w:val="20"/>
          <w:color w:val="auto"/>
        </w:rPr>
        <w:t>In the United States, federal, state, and local governments have enacted numerous data privacy and security laws, including data breach notification laws, personal data privacy laws, consumer protection laws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or the CCPA, applies to personal data of consumers, business representatives, and employees who are California residents, and requires businesses subject to the law to provide specific disclosures in privacy notices and respond to requests of such individuals to exercise certain privacy rights. The CCPA provides for civil penalties and a private right of action for certain data breaches (which could lead to the recovery of significant statutory damages). Although these laws may exempt some data processed in the context of clinical trials, these laws increase compliance efforts, legal risks and compliance costs for us and the third parties with whom we work. Similar laws are being considered in other states as well as at the federal and local levels. We expect more legislatures to pass additional privacy or security laws in the future.</w:t>
      </w:r>
    </w:p>
    <w:p>
      <w:pPr>
        <w:spacing w:after="0" w:line="90" w:lineRule="exact"/>
        <w:rPr>
          <w:sz w:val="20"/>
          <w:szCs w:val="20"/>
          <w:color w:val="auto"/>
        </w:rPr>
      </w:pPr>
    </w:p>
    <w:p>
      <w:pPr>
        <w:ind w:right="140" w:firstLine="490"/>
        <w:spacing w:after="0" w:line="236"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apply to data privacy and security. For example, the EU GDPR and the United Kingdom’s GDPR, or UK GDPR (collectively, GDPR), impose strict requirements for processing personal data. Violators of these laws face potential significant penalties. For example, under the GDPR, companies may face temporary or definitive bans on data processing and other corrective actions; fines of up to 20 million Euros (under the EU GDPR) or 17.5 million pounds sterling (under the UK GDPR), or 4% of annual global revenue, whichever is greater. Further, the EU and UK GDPR also provide for private litigation related to the processing of personal data that can be brought by classes of data subjects or consumer protection organizations authorized at law to represent the data subjects’ interests.</w:t>
      </w:r>
    </w:p>
    <w:p>
      <w:pPr>
        <w:spacing w:after="0" w:line="77" w:lineRule="exact"/>
        <w:rPr>
          <w:sz w:val="20"/>
          <w:szCs w:val="20"/>
          <w:color w:val="auto"/>
        </w:rPr>
      </w:pPr>
    </w:p>
    <w:p>
      <w:pPr>
        <w:ind w:right="20" w:firstLine="490"/>
        <w:spacing w:after="0" w:line="238" w:lineRule="auto"/>
        <w:rPr>
          <w:sz w:val="20"/>
          <w:szCs w:val="20"/>
          <w:color w:val="auto"/>
        </w:rPr>
      </w:pPr>
      <w:r>
        <w:rPr>
          <w:rFonts w:ascii="Times New Roman" w:cs="Times New Roman" w:eastAsia="Times New Roman" w:hAnsi="Times New Roman"/>
          <w:sz w:val="20"/>
          <w:szCs w:val="20"/>
          <w:color w:val="auto"/>
        </w:rPr>
        <w:t>Our personnel and others with whom we work use generative artificial intelligence, or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spacing w:after="0" w:line="76" w:lineRule="exact"/>
        <w:rPr>
          <w:sz w:val="20"/>
          <w:szCs w:val="20"/>
          <w:color w:val="auto"/>
        </w:rPr>
      </w:pPr>
    </w:p>
    <w:p>
      <w:pPr>
        <w:ind w:right="40" w:firstLine="490"/>
        <w:spacing w:after="0" w:line="232" w:lineRule="auto"/>
        <w:rPr>
          <w:sz w:val="20"/>
          <w:szCs w:val="20"/>
          <w:color w:val="auto"/>
        </w:rPr>
      </w:pPr>
      <w:r>
        <w:rPr>
          <w:rFonts w:ascii="Times New Roman" w:cs="Times New Roman" w:eastAsia="Times New Roman" w:hAnsi="Times New Roman"/>
          <w:sz w:val="20"/>
          <w:szCs w:val="20"/>
          <w:color w:val="auto"/>
        </w:rPr>
        <w:t>In addition, we may be unable to transfer personal data from Europe and other jurisdictions to the United States or other countries due to, for example, data localization requirements or limitations on cross-border data transfers.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(such as the EEA standard contractual clauses, the UK’s International Data Transfer Agreement/Addendum, and the EU-U.S. Data Privacy Framework and the UK extension), that may be used to lawfully transfer personal data to the United States or other countries, these mechanisms are subject to legal challenges and there is no assurance that we can satisfy or rely on these measures. An inability or material limitation on our ability to transfer personal data to the United States or other countries could materially impact our business operations. If there were no lawful manner for us to transfer personal data from the EEA, the UK or other jurisdictions to the United States or other jurisdictions, or if the requirements for a legally-compliant transfer are too onerous, we may face increased exposure to regulatory actions, substantial fines, and injunctions against processing or transferring personal data from Europe and other foreign jurisdictions. The inability to transfer personal data to the United States or other jurisdictions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out of the EEA and UK to other jurisdictions, particularly to the United States, are subject to increased regulator, individual litigant, and activist group scrutiny. Some European regulators have ordered certain companies to suspend or permanently cease certain data transfers out of Europe for allegedly violating the GDPR’s cross-border data transfer requirements.</w:t>
      </w:r>
    </w:p>
    <w:p>
      <w:pPr>
        <w:spacing w:after="0" w:line="80"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w:t>
      </w:r>
    </w:p>
    <w:p>
      <w:pPr>
        <w:sectPr>
          <w:pgSz w:w="12240" w:h="15840" w:orient="portrait"/>
          <w:cols w:equalWidth="0" w:num="1">
            <w:col w:w="10160"/>
          </w:cols>
          <w:pgMar w:left="1080" w:top="1052" w:right="1000" w:bottom="175"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160"/>
          </w:cols>
          <w:pgMar w:left="1080" w:top="1052" w:right="1000" w:bottom="175" w:gutter="0" w:footer="0" w:header="0"/>
          <w:type w:val="continuous"/>
        </w:sectPr>
      </w:pPr>
    </w:p>
    <w:bookmarkStart w:id="50" w:name="page51"/>
    <w:bookmarkEnd w:id="50"/>
    <w:p>
      <w:pPr>
        <w:ind w:right="140"/>
        <w:spacing w:after="0" w:line="267" w:lineRule="auto"/>
        <w:rPr>
          <w:sz w:val="20"/>
          <w:szCs w:val="20"/>
          <w:color w:val="auto"/>
        </w:rPr>
      </w:pPr>
      <w:r>
        <w:rPr>
          <w:rFonts w:ascii="Times New Roman" w:cs="Times New Roman" w:eastAsia="Times New Roman" w:hAnsi="Times New Roman"/>
          <w:sz w:val="20"/>
          <w:szCs w:val="20"/>
          <w:color w:val="auto"/>
        </w:rPr>
        <w:t>challenges for companies like ours that operate in the clinical trial space and impacts the ability to transfer data in connection with certain transactions or agreements.</w:t>
      </w:r>
    </w:p>
    <w:p>
      <w:pPr>
        <w:spacing w:after="0" w:line="49" w:lineRule="exact"/>
        <w:rPr>
          <w:sz w:val="20"/>
          <w:szCs w:val="20"/>
          <w:color w:val="auto"/>
        </w:rPr>
      </w:pPr>
    </w:p>
    <w:p>
      <w:pPr>
        <w:ind w:right="220" w:firstLine="490"/>
        <w:spacing w:after="0" w:line="237" w:lineRule="auto"/>
        <w:rPr>
          <w:sz w:val="20"/>
          <w:szCs w:val="20"/>
          <w:color w:val="auto"/>
        </w:rPr>
      </w:pPr>
      <w:r>
        <w:rPr>
          <w:rFonts w:ascii="Times New Roman" w:cs="Times New Roman" w:eastAsia="Times New Roman" w:hAnsi="Times New Roman"/>
          <w:sz w:val="20"/>
          <w:szCs w:val="20"/>
          <w:color w:val="auto"/>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also publish statements regarding data privacy and security. Regulators are increasingly scrutinizing these statements, and if these statements are found to be deficient, lacking in transparency, deceptive, unfair, misleading or misrepresentative of our practices, we may be subject to, among other things, investigations, enforcement actions and other adverse consequences.</w:t>
      </w:r>
    </w:p>
    <w:p>
      <w:pPr>
        <w:spacing w:after="0" w:line="80" w:lineRule="exact"/>
        <w:rPr>
          <w:sz w:val="20"/>
          <w:szCs w:val="20"/>
          <w:color w:val="auto"/>
        </w:rPr>
      </w:pPr>
    </w:p>
    <w:p>
      <w:pPr>
        <w:ind w:firstLine="490"/>
        <w:spacing w:after="0" w:line="237" w:lineRule="auto"/>
        <w:rPr>
          <w:sz w:val="20"/>
          <w:szCs w:val="20"/>
          <w:color w:val="auto"/>
        </w:rPr>
      </w:pPr>
      <w:r>
        <w:rPr>
          <w:rFonts w:ascii="Times New Roman" w:cs="Times New Roman" w:eastAsia="Times New Roman" w:hAnsi="Times New Roman"/>
          <w:sz w:val="20"/>
          <w:szCs w:val="20"/>
          <w:color w:val="auto"/>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80"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If we or any third party with whom we work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or stoppages in our development process and business operations (including, as relevant, our clinical trial activities); and damage to our reputation. In particular, plaintiffs have become increasingly more active in bringing privacy-related claims against companies, including class claims and mass arbitration demands. Some of these claims allow for the recovery of statutory damages on a per violation basis which could result in significant damages. Any of these events could have a material adverse effect on our business, financial condition, results of operations and/or growth prospects</w:t>
      </w:r>
      <w:r>
        <w:rPr>
          <w:rFonts w:ascii="Times New Roman" w:cs="Times New Roman" w:eastAsia="Times New Roman" w:hAnsi="Times New Roman"/>
          <w:sz w:val="24"/>
          <w:szCs w:val="24"/>
          <w:color w:val="auto"/>
        </w:rPr>
        <w:t>.</w:t>
      </w:r>
    </w:p>
    <w:p>
      <w:pPr>
        <w:spacing w:after="0" w:line="19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If we or any contract manufacturers and suppliers we engage fail to comply with environmental, health and safety laws, we could become subject to fines or penalties or incur costs that could have a material adverse effect on the success of our business.</w:t>
      </w:r>
    </w:p>
    <w:p>
      <w:pPr>
        <w:spacing w:after="0" w:line="67"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2" w:lineRule="exact"/>
        <w:rPr>
          <w:sz w:val="20"/>
          <w:szCs w:val="20"/>
          <w:color w:val="auto"/>
        </w:rPr>
      </w:pPr>
    </w:p>
    <w:p>
      <w:pPr>
        <w:ind w:right="40" w:firstLine="490"/>
        <w:spacing w:after="0" w:line="234" w:lineRule="auto"/>
        <w:rPr>
          <w:sz w:val="20"/>
          <w:szCs w:val="20"/>
          <w:color w:val="auto"/>
        </w:rPr>
      </w:pPr>
      <w:r>
        <w:rPr>
          <w:rFonts w:ascii="Times New Roman" w:cs="Times New Roman" w:eastAsia="Times New Roman" w:hAnsi="Times New Roman"/>
          <w:sz w:val="20"/>
          <w:szCs w:val="20"/>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21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activities may be subject to the Foreign Corrupt Practices Act, or FCPA, and similar anti-bribery and anti-corruption laws.</w:t>
      </w:r>
    </w:p>
    <w:p>
      <w:pPr>
        <w:spacing w:after="0" w:line="49"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w:t>
      </w:r>
    </w:p>
    <w:p>
      <w:pPr>
        <w:sectPr>
          <w:pgSz w:w="12240" w:h="15840" w:orient="portrait"/>
          <w:cols w:equalWidth="0" w:num="1">
            <w:col w:w="10160"/>
          </w:cols>
          <w:pgMar w:left="1080" w:top="1052" w:right="1000" w:bottom="175"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160"/>
          </w:cols>
          <w:pgMar w:left="1080" w:top="1052" w:right="1000" w:bottom="175" w:gutter="0" w:footer="0" w:header="0"/>
          <w:type w:val="continuous"/>
        </w:sectPr>
      </w:pPr>
    </w:p>
    <w:bookmarkStart w:id="51" w:name="page52"/>
    <w:bookmarkEnd w:id="51"/>
    <w:p>
      <w:pPr>
        <w:spacing w:after="0" w:line="242" w:lineRule="auto"/>
        <w:rPr>
          <w:sz w:val="20"/>
          <w:szCs w:val="20"/>
          <w:color w:val="auto"/>
        </w:rPr>
      </w:pPr>
      <w:r>
        <w:rPr>
          <w:rFonts w:ascii="Times New Roman" w:cs="Times New Roman" w:eastAsia="Times New Roman" w:hAnsi="Times New Roman"/>
          <w:sz w:val="20"/>
          <w:szCs w:val="20"/>
          <w:color w:val="auto"/>
        </w:rPr>
        <w:t>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24"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68"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We currently rely and expect to continue to rely on third parties, such as clinical investigators, medical institutions, clinical data management organizations, and other third-party vendors,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4"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82" w:lineRule="exact"/>
        <w:rPr>
          <w:sz w:val="20"/>
          <w:szCs w:val="20"/>
          <w:color w:val="auto"/>
        </w:rPr>
      </w:pPr>
    </w:p>
    <w:p>
      <w:pPr>
        <w:jc w:val="both"/>
        <w:ind w:right="460" w:firstLine="490"/>
        <w:spacing w:after="0" w:line="252" w:lineRule="auto"/>
        <w:rPr>
          <w:sz w:val="20"/>
          <w:szCs w:val="20"/>
          <w:color w:val="auto"/>
        </w:rPr>
      </w:pPr>
      <w:r>
        <w:rPr>
          <w:rFonts w:ascii="Times New Roman" w:cs="Times New Roman" w:eastAsia="Times New Roman" w:hAnsi="Times New Roman"/>
          <w:sz w:val="20"/>
          <w:szCs w:val="20"/>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7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94"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7"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We currently rely on a third-party manufacturer, Lonza, for the manufacture of our materials for preclinical studies and clinical trials and expect to continue to do so for preclinical studies, clinical trials and for commercial supply of any product candidates that we may develop.</w:t>
      </w:r>
    </w:p>
    <w:p>
      <w:pPr>
        <w:spacing w:after="0" w:line="61" w:lineRule="exact"/>
        <w:rPr>
          <w:sz w:val="20"/>
          <w:szCs w:val="20"/>
          <w:color w:val="auto"/>
        </w:rPr>
      </w:pPr>
    </w:p>
    <w:p>
      <w:pPr>
        <w:ind w:right="220" w:firstLine="490"/>
        <w:spacing w:after="0" w:line="248" w:lineRule="auto"/>
        <w:rPr>
          <w:sz w:val="20"/>
          <w:szCs w:val="20"/>
          <w:color w:val="auto"/>
        </w:rPr>
      </w:pPr>
      <w:r>
        <w:rPr>
          <w:rFonts w:ascii="Times New Roman" w:cs="Times New Roman" w:eastAsia="Times New Roman" w:hAnsi="Times New Roman"/>
          <w:sz w:val="20"/>
          <w:szCs w:val="20"/>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90" w:lineRule="exact"/>
        <w:rPr>
          <w:sz w:val="20"/>
          <w:szCs w:val="20"/>
          <w:color w:val="auto"/>
        </w:rPr>
      </w:pPr>
    </w:p>
    <w:p>
      <w:pPr>
        <w:ind w:left="980" w:hanging="490"/>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breach of the manufacturing agreement by the third party or us;</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160"/>
          </w:cols>
          <w:pgMar w:left="1080" w:top="1060" w:right="1000" w:bottom="175" w:gutter="0" w:footer="0" w:header="0"/>
          <w:type w:val="continuous"/>
        </w:sectPr>
      </w:pPr>
    </w:p>
    <w:bookmarkStart w:id="52" w:name="page53"/>
    <w:bookmarkEnd w:id="52"/>
    <w:p>
      <w:pPr>
        <w:ind w:left="980" w:right="120" w:hanging="490"/>
        <w:spacing w:after="0" w:line="276"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early termination of the agreement by us at a time that requires us to pay a cancellation fee;</w:t>
      </w:r>
    </w:p>
    <w:p>
      <w:pPr>
        <w:spacing w:after="0" w:line="133" w:lineRule="exact"/>
        <w:rPr>
          <w:rFonts w:ascii="Arial" w:cs="Arial" w:eastAsia="Arial" w:hAnsi="Arial"/>
          <w:sz w:val="20"/>
          <w:szCs w:val="20"/>
          <w:color w:val="auto"/>
        </w:rPr>
      </w:pPr>
    </w:p>
    <w:p>
      <w:pPr>
        <w:ind w:left="980" w:right="80" w:hanging="490"/>
        <w:spacing w:after="0" w:line="276"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the third party for regulatory compliance, quality assurance, safety and pharmacovigilance and related reporting;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produce required volume in a timely manner and to quality standards.</w:t>
      </w:r>
    </w:p>
    <w:p>
      <w:pPr>
        <w:spacing w:after="0" w:line="111" w:lineRule="exact"/>
        <w:rPr>
          <w:sz w:val="20"/>
          <w:szCs w:val="20"/>
          <w:color w:val="auto"/>
        </w:rPr>
      </w:pPr>
    </w:p>
    <w:p>
      <w:pPr>
        <w:ind w:right="40" w:firstLine="490"/>
        <w:spacing w:after="0" w:line="237" w:lineRule="auto"/>
        <w:rPr>
          <w:sz w:val="20"/>
          <w:szCs w:val="20"/>
          <w:color w:val="auto"/>
        </w:rPr>
      </w:pPr>
      <w:r>
        <w:rPr>
          <w:rFonts w:ascii="Times New Roman" w:cs="Times New Roman" w:eastAsia="Times New Roman" w:hAnsi="Times New Roman"/>
          <w:sz w:val="20"/>
          <w:szCs w:val="20"/>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0" w:lineRule="exact"/>
        <w:rPr>
          <w:sz w:val="20"/>
          <w:szCs w:val="20"/>
          <w:color w:val="auto"/>
        </w:rPr>
      </w:pPr>
    </w:p>
    <w:p>
      <w:pPr>
        <w:ind w:right="120" w:firstLine="490"/>
        <w:spacing w:after="0" w:line="248" w:lineRule="auto"/>
        <w:rPr>
          <w:sz w:val="20"/>
          <w:szCs w:val="20"/>
          <w:color w:val="auto"/>
        </w:rPr>
      </w:pPr>
      <w:r>
        <w:rPr>
          <w:rFonts w:ascii="Times New Roman" w:cs="Times New Roman" w:eastAsia="Times New Roman" w:hAnsi="Times New Roman"/>
          <w:sz w:val="20"/>
          <w:szCs w:val="20"/>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68" w:lineRule="exact"/>
        <w:rPr>
          <w:sz w:val="20"/>
          <w:szCs w:val="20"/>
          <w:color w:val="auto"/>
        </w:rPr>
      </w:pPr>
    </w:p>
    <w:p>
      <w:pPr>
        <w:ind w:firstLine="490"/>
        <w:spacing w:after="0" w:line="239" w:lineRule="auto"/>
        <w:rPr>
          <w:sz w:val="20"/>
          <w:szCs w:val="20"/>
          <w:color w:val="auto"/>
        </w:rPr>
      </w:pPr>
      <w:r>
        <w:rPr>
          <w:rFonts w:ascii="Times New Roman" w:cs="Times New Roman" w:eastAsia="Times New Roman" w:hAnsi="Times New Roman"/>
          <w:sz w:val="20"/>
          <w:szCs w:val="20"/>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77" w:lineRule="exact"/>
        <w:rPr>
          <w:sz w:val="20"/>
          <w:szCs w:val="20"/>
          <w:color w:val="auto"/>
        </w:rPr>
      </w:pPr>
    </w:p>
    <w:p>
      <w:pPr>
        <w:ind w:right="180" w:firstLine="490"/>
        <w:spacing w:after="0" w:line="248" w:lineRule="auto"/>
        <w:rPr>
          <w:sz w:val="20"/>
          <w:szCs w:val="20"/>
          <w:color w:val="auto"/>
        </w:rPr>
      </w:pPr>
      <w:r>
        <w:rPr>
          <w:rFonts w:ascii="Times New Roman" w:cs="Times New Roman" w:eastAsia="Times New Roman" w:hAnsi="Times New Roman"/>
          <w:sz w:val="20"/>
          <w:szCs w:val="20"/>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96"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42"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1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68"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Collaborations involving our product candidates we may develop, pose the following risks to us:</w:t>
      </w:r>
    </w:p>
    <w:p>
      <w:pPr>
        <w:spacing w:after="0" w:line="134" w:lineRule="exact"/>
        <w:rPr>
          <w:sz w:val="20"/>
          <w:szCs w:val="20"/>
          <w:color w:val="auto"/>
        </w:rPr>
      </w:pPr>
    </w:p>
    <w:p>
      <w:pPr>
        <w:ind w:left="980" w:right="140" w:hanging="490"/>
        <w:spacing w:after="0" w:line="276"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generally have significant discretion in determining the efforts and resources that they will apply to these collaborations;</w:t>
      </w:r>
    </w:p>
    <w:p>
      <w:pPr>
        <w:sectPr>
          <w:pgSz w:w="12240" w:h="15840" w:orient="portrait"/>
          <w:cols w:equalWidth="0" w:num="1">
            <w:col w:w="10160"/>
          </w:cols>
          <w:pgMar w:left="1080" w:top="1074"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160"/>
          </w:cols>
          <w:pgMar w:left="1080" w:top="1074" w:right="1000" w:bottom="175" w:gutter="0" w:footer="0" w:header="0"/>
          <w:type w:val="continuous"/>
        </w:sectPr>
      </w:pPr>
    </w:p>
    <w:bookmarkStart w:id="53" w:name="page54"/>
    <w:bookmarkEnd w:id="53"/>
    <w:p>
      <w:pPr>
        <w:ind w:left="980" w:right="40" w:hanging="490"/>
        <w:spacing w:after="0" w:line="252"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87" w:lineRule="exact"/>
        <w:rPr>
          <w:rFonts w:ascii="Arial" w:cs="Arial" w:eastAsia="Arial" w:hAnsi="Arial"/>
          <w:sz w:val="20"/>
          <w:szCs w:val="20"/>
          <w:color w:val="auto"/>
        </w:rPr>
      </w:pPr>
    </w:p>
    <w:p>
      <w:pPr>
        <w:ind w:left="980" w:hanging="490"/>
        <w:spacing w:after="0" w:line="258"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with respect to the ownership of intellectual property developed pursuant to collaborations;</w:t>
      </w:r>
    </w:p>
    <w:p>
      <w:pPr>
        <w:spacing w:after="0" w:line="133" w:lineRule="exact"/>
        <w:rPr>
          <w:rFonts w:ascii="Arial" w:cs="Arial" w:eastAsia="Arial" w:hAnsi="Arial"/>
          <w:sz w:val="20"/>
          <w:szCs w:val="20"/>
          <w:color w:val="auto"/>
        </w:rPr>
      </w:pPr>
    </w:p>
    <w:p>
      <w:pPr>
        <w:ind w:left="980" w:right="18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we may need the cooperation of our collaborators to enforce or defend any intellectual property we contribute to or that arises out of our collaborations, which may not be provided to us;</w:t>
      </w:r>
    </w:p>
    <w:p>
      <w:pPr>
        <w:spacing w:after="0" w:line="64" w:lineRule="exact"/>
        <w:rPr>
          <w:rFonts w:ascii="Arial" w:cs="Arial" w:eastAsia="Arial" w:hAnsi="Arial"/>
          <w:sz w:val="20"/>
          <w:szCs w:val="20"/>
          <w:color w:val="auto"/>
        </w:rPr>
      </w:pPr>
    </w:p>
    <w:p>
      <w:pPr>
        <w:ind w:left="980" w:right="22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infringe the intellectual property rights of third parties, which may expose us to litigation and potential liability;</w:t>
      </w:r>
    </w:p>
    <w:p>
      <w:pPr>
        <w:spacing w:after="0" w:line="64" w:lineRule="exact"/>
        <w:rPr>
          <w:rFonts w:ascii="Arial" w:cs="Arial" w:eastAsia="Arial" w:hAnsi="Arial"/>
          <w:sz w:val="20"/>
          <w:szCs w:val="20"/>
          <w:color w:val="auto"/>
        </w:rPr>
      </w:pPr>
    </w:p>
    <w:p>
      <w:pPr>
        <w:ind w:left="980" w:right="240" w:hanging="490"/>
        <w:spacing w:after="0" w:line="258"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1" w:lineRule="exact"/>
        <w:rPr>
          <w:rFonts w:ascii="Arial" w:cs="Arial" w:eastAsia="Arial" w:hAnsi="Arial"/>
          <w:sz w:val="20"/>
          <w:szCs w:val="20"/>
          <w:color w:val="auto"/>
        </w:rPr>
      </w:pPr>
    </w:p>
    <w:p>
      <w:pPr>
        <w:ind w:left="980" w:right="40" w:hanging="490"/>
        <w:spacing w:after="0" w:line="252"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7" w:lineRule="exact"/>
        <w:rPr>
          <w:rFonts w:ascii="Arial" w:cs="Arial" w:eastAsia="Arial" w:hAnsi="Arial"/>
          <w:sz w:val="20"/>
          <w:szCs w:val="20"/>
          <w:color w:val="auto"/>
        </w:rPr>
      </w:pPr>
    </w:p>
    <w:p>
      <w:pPr>
        <w:ind w:left="980" w:right="500" w:hanging="490"/>
        <w:spacing w:after="0" w:line="258"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81" w:lineRule="exact"/>
        <w:rPr>
          <w:rFonts w:ascii="Arial" w:cs="Arial" w:eastAsia="Arial" w:hAnsi="Arial"/>
          <w:sz w:val="20"/>
          <w:szCs w:val="20"/>
          <w:color w:val="auto"/>
        </w:rPr>
      </w:pPr>
    </w:p>
    <w:p>
      <w:pPr>
        <w:ind w:left="980" w:right="160" w:hanging="490"/>
        <w:spacing w:after="0" w:line="278" w:lineRule="auto"/>
        <w:tabs>
          <w:tab w:leader="none" w:pos="98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4" w:lineRule="exact"/>
        <w:rPr>
          <w:rFonts w:ascii="Arial" w:cs="Arial" w:eastAsia="Arial" w:hAnsi="Arial"/>
          <w:sz w:val="19"/>
          <w:szCs w:val="19"/>
          <w:color w:val="auto"/>
        </w:rPr>
      </w:pPr>
    </w:p>
    <w:p>
      <w:pPr>
        <w:ind w:left="980" w:right="10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with marketing and distribution rights to one or more product candidates may not commit sufficient resources to the marketing and distribution of such product candidates;</w:t>
      </w:r>
    </w:p>
    <w:p>
      <w:pPr>
        <w:spacing w:after="0" w:line="64" w:lineRule="exact"/>
        <w:rPr>
          <w:rFonts w:ascii="Arial" w:cs="Arial" w:eastAsia="Arial" w:hAnsi="Arial"/>
          <w:sz w:val="20"/>
          <w:szCs w:val="20"/>
          <w:color w:val="auto"/>
        </w:rPr>
      </w:pPr>
    </w:p>
    <w:p>
      <w:pPr>
        <w:ind w:left="980" w:right="12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we may lose certain valuable rights under circumstances identified in our collaborations, including if we undergo a change of control;</w:t>
      </w:r>
    </w:p>
    <w:p>
      <w:pPr>
        <w:spacing w:after="0" w:line="64" w:lineRule="exact"/>
        <w:rPr>
          <w:rFonts w:ascii="Arial" w:cs="Arial" w:eastAsia="Arial" w:hAnsi="Arial"/>
          <w:sz w:val="20"/>
          <w:szCs w:val="20"/>
          <w:color w:val="auto"/>
        </w:rPr>
      </w:pPr>
    </w:p>
    <w:p>
      <w:pPr>
        <w:ind w:left="980" w:right="50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undergo a change of control and the new owners may decide to take the collaboration in a direction which is not in our best interest;</w:t>
      </w:r>
    </w:p>
    <w:p>
      <w:pPr>
        <w:spacing w:after="0" w:line="64" w:lineRule="exact"/>
        <w:rPr>
          <w:rFonts w:ascii="Arial" w:cs="Arial" w:eastAsia="Arial" w:hAnsi="Arial"/>
          <w:sz w:val="20"/>
          <w:szCs w:val="20"/>
          <w:color w:val="auto"/>
        </w:rPr>
      </w:pPr>
    </w:p>
    <w:p>
      <w:pPr>
        <w:ind w:left="980" w:right="100" w:hanging="490"/>
        <w:spacing w:after="0" w:line="258"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81" w:lineRule="exact"/>
        <w:rPr>
          <w:rFonts w:ascii="Arial" w:cs="Arial" w:eastAsia="Arial" w:hAnsi="Arial"/>
          <w:sz w:val="20"/>
          <w:szCs w:val="20"/>
          <w:color w:val="auto"/>
        </w:rPr>
      </w:pPr>
    </w:p>
    <w:p>
      <w:pPr>
        <w:ind w:left="980" w:hanging="490"/>
        <w:spacing w:after="0" w:line="258"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81" w:lineRule="exact"/>
        <w:rPr>
          <w:rFonts w:ascii="Arial" w:cs="Arial" w:eastAsia="Arial" w:hAnsi="Arial"/>
          <w:sz w:val="20"/>
          <w:szCs w:val="20"/>
          <w:color w:val="auto"/>
        </w:rPr>
      </w:pPr>
    </w:p>
    <w:p>
      <w:pPr>
        <w:ind w:left="980" w:right="2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key personnel at our collaborators may leave, which could negatively impact our ability to productively work with our collaborators;</w:t>
      </w:r>
    </w:p>
    <w:p>
      <w:pPr>
        <w:spacing w:after="0" w:line="64" w:lineRule="exact"/>
        <w:rPr>
          <w:rFonts w:ascii="Arial" w:cs="Arial" w:eastAsia="Arial" w:hAnsi="Arial"/>
          <w:sz w:val="20"/>
          <w:szCs w:val="20"/>
          <w:color w:val="auto"/>
        </w:rPr>
      </w:pPr>
    </w:p>
    <w:p>
      <w:pPr>
        <w:ind w:left="980" w:right="96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require us to incur short and long-term expenditures, issue securities that dilute our stockholders, or disrupt our management and business;</w:t>
      </w:r>
    </w:p>
    <w:p>
      <w:pPr>
        <w:spacing w:after="0" w:line="64" w:lineRule="exact"/>
        <w:rPr>
          <w:rFonts w:ascii="Arial" w:cs="Arial" w:eastAsia="Arial" w:hAnsi="Arial"/>
          <w:sz w:val="20"/>
          <w:szCs w:val="20"/>
          <w:color w:val="auto"/>
        </w:rPr>
      </w:pPr>
    </w:p>
    <w:p>
      <w:pPr>
        <w:ind w:left="980" w:right="22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 candidates or our ABC Platform; and</w:t>
      </w:r>
    </w:p>
    <w:p>
      <w:pPr>
        <w:spacing w:after="0" w:line="64" w:lineRule="exact"/>
        <w:rPr>
          <w:rFonts w:ascii="Arial" w:cs="Arial" w:eastAsia="Arial" w:hAnsi="Arial"/>
          <w:sz w:val="20"/>
          <w:szCs w:val="20"/>
          <w:color w:val="auto"/>
        </w:rPr>
      </w:pPr>
    </w:p>
    <w:p>
      <w:pPr>
        <w:ind w:left="980" w:right="32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 agreements may not lead to development or commercialization of product candidates in the most efficient manner or at all.</w:t>
      </w:r>
    </w:p>
    <w:p>
      <w:pPr>
        <w:spacing w:after="0" w:line="42" w:lineRule="exact"/>
        <w:rPr>
          <w:sz w:val="20"/>
          <w:szCs w:val="20"/>
          <w:color w:val="auto"/>
        </w:rPr>
      </w:pPr>
    </w:p>
    <w:p>
      <w:pPr>
        <w:ind w:right="120" w:firstLine="490"/>
        <w:spacing w:after="0" w:line="248" w:lineRule="auto"/>
        <w:rPr>
          <w:sz w:val="20"/>
          <w:szCs w:val="20"/>
          <w:color w:val="auto"/>
        </w:rPr>
      </w:pPr>
      <w:r>
        <w:rPr>
          <w:rFonts w:ascii="Times New Roman" w:cs="Times New Roman" w:eastAsia="Times New Roman" w:hAnsi="Times New Roman"/>
          <w:sz w:val="20"/>
          <w:szCs w:val="20"/>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w:t>
      </w:r>
    </w:p>
    <w:p>
      <w:pPr>
        <w:sectPr>
          <w:pgSz w:w="12240" w:h="15840" w:orient="portrait"/>
          <w:cols w:equalWidth="0" w:num="1">
            <w:col w:w="10160"/>
          </w:cols>
          <w:pgMar w:left="1080" w:top="1074" w:right="1000" w:bottom="175"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160"/>
          </w:cols>
          <w:pgMar w:left="1080" w:top="1074" w:right="1000" w:bottom="175" w:gutter="0" w:footer="0" w:header="0"/>
          <w:type w:val="continuous"/>
        </w:sectPr>
      </w:pPr>
    </w:p>
    <w:bookmarkStart w:id="54" w:name="page55"/>
    <w:bookmarkEnd w:id="54"/>
    <w:p>
      <w:pPr>
        <w:ind w:right="160"/>
        <w:spacing w:after="0" w:line="237" w:lineRule="auto"/>
        <w:rPr>
          <w:sz w:val="20"/>
          <w:szCs w:val="20"/>
          <w:color w:val="auto"/>
        </w:rPr>
      </w:pPr>
      <w:r>
        <w:rPr>
          <w:rFonts w:ascii="Times New Roman" w:cs="Times New Roman" w:eastAsia="Times New Roman" w:hAnsi="Times New Roman"/>
          <w:sz w:val="20"/>
          <w:szCs w:val="20"/>
          <w:color w:val="auto"/>
        </w:rPr>
        <w:t>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80"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10"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42"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1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7"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 -licensing intellectual property and filing patent applications in the United States and abroad relating to our ABC Platform, product candidates and other technologies that are important to our business.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described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any of our patent applications does not issue as a patent in any jurisdiction, we may not be able to compete effectively.</w:t>
      </w:r>
    </w:p>
    <w:p>
      <w:pPr>
        <w:spacing w:after="0" w:line="110" w:lineRule="exact"/>
        <w:rPr>
          <w:sz w:val="20"/>
          <w:szCs w:val="20"/>
          <w:color w:val="auto"/>
        </w:rPr>
      </w:pPr>
    </w:p>
    <w:p>
      <w:pPr>
        <w:ind w:firstLine="490"/>
        <w:spacing w:after="0" w:line="294" w:lineRule="auto"/>
        <w:rPr>
          <w:sz w:val="20"/>
          <w:szCs w:val="20"/>
          <w:color w:val="auto"/>
        </w:rPr>
      </w:pPr>
      <w:r>
        <w:rPr>
          <w:rFonts w:ascii="Times New Roman" w:cs="Times New Roman" w:eastAsia="Times New Roman" w:hAnsi="Times New Roman"/>
          <w:sz w:val="19"/>
          <w:szCs w:val="19"/>
          <w:color w:val="auto"/>
        </w:rPr>
        <w:t>Changes in either the patent laws or their interpretation in the United States and other countries may diminish our ability to protect our inventions, and obtain, maintain and enforce our intellectual property rights and, more generally, could affect the</w:t>
      </w:r>
    </w:p>
    <w:p>
      <w:pPr>
        <w:sectPr>
          <w:pgSz w:w="12240" w:h="15840" w:orient="portrait"/>
          <w:cols w:equalWidth="0" w:num="1">
            <w:col w:w="10160"/>
          </w:cols>
          <w:pgMar w:left="1080" w:top="1052" w:right="1000" w:bottom="175"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160"/>
          </w:cols>
          <w:pgMar w:left="1080" w:top="1052" w:right="1000" w:bottom="175" w:gutter="0" w:footer="0" w:header="0"/>
          <w:type w:val="continuous"/>
        </w:sectPr>
      </w:pPr>
    </w:p>
    <w:bookmarkStart w:id="55" w:name="page56"/>
    <w:bookmarkEnd w:id="55"/>
    <w:p>
      <w:pPr>
        <w:spacing w:after="0" w:line="248" w:lineRule="auto"/>
        <w:rPr>
          <w:sz w:val="20"/>
          <w:szCs w:val="20"/>
          <w:color w:val="auto"/>
        </w:rPr>
      </w:pPr>
      <w:r>
        <w:rPr>
          <w:rFonts w:ascii="Times New Roman" w:cs="Times New Roman" w:eastAsia="Times New Roman" w:hAnsi="Times New Roman"/>
          <w:sz w:val="20"/>
          <w:szCs w:val="20"/>
          <w:color w:val="auto"/>
        </w:rPr>
        <w:t>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ind w:right="40" w:firstLine="490"/>
        <w:spacing w:after="0" w:line="233" w:lineRule="auto"/>
        <w:rPr>
          <w:sz w:val="20"/>
          <w:szCs w:val="20"/>
          <w:color w:val="auto"/>
        </w:rPr>
      </w:pPr>
      <w:r>
        <w:rPr>
          <w:rFonts w:ascii="Times New Roman" w:cs="Times New Roman" w:eastAsia="Times New Roman" w:hAnsi="Times New Roman"/>
          <w:sz w:val="20"/>
          <w:szCs w:val="20"/>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published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205"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68" w:lineRule="exact"/>
        <w:rPr>
          <w:sz w:val="20"/>
          <w:szCs w:val="20"/>
          <w:color w:val="auto"/>
        </w:rPr>
      </w:pPr>
    </w:p>
    <w:p>
      <w:pPr>
        <w:ind w:right="60" w:firstLine="490"/>
        <w:spacing w:after="0" w:line="239" w:lineRule="auto"/>
        <w:rPr>
          <w:sz w:val="20"/>
          <w:szCs w:val="20"/>
          <w:color w:val="auto"/>
        </w:rPr>
      </w:pPr>
      <w:r>
        <w:rPr>
          <w:rFonts w:ascii="Times New Roman" w:cs="Times New Roman" w:eastAsia="Times New Roman" w:hAnsi="Times New Roman"/>
          <w:sz w:val="20"/>
          <w:szCs w:val="20"/>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77" w:lineRule="exact"/>
        <w:rPr>
          <w:sz w:val="20"/>
          <w:szCs w:val="20"/>
          <w:color w:val="auto"/>
        </w:rPr>
      </w:pPr>
    </w:p>
    <w:p>
      <w:pPr>
        <w:ind w:right="40" w:firstLine="490"/>
        <w:spacing w:after="0" w:line="235" w:lineRule="auto"/>
        <w:rPr>
          <w:sz w:val="20"/>
          <w:szCs w:val="20"/>
          <w:color w:val="auto"/>
        </w:rPr>
      </w:pPr>
      <w:r>
        <w:rPr>
          <w:rFonts w:ascii="Times New Roman" w:cs="Times New Roman" w:eastAsia="Times New Roman" w:hAnsi="Times New Roman"/>
          <w:sz w:val="20"/>
          <w:szCs w:val="20"/>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81"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88" w:lineRule="exact"/>
        <w:rPr>
          <w:sz w:val="20"/>
          <w:szCs w:val="20"/>
          <w:color w:val="auto"/>
        </w:rPr>
      </w:pPr>
    </w:p>
    <w:p>
      <w:pPr>
        <w:ind w:right="580" w:firstLine="490"/>
        <w:spacing w:after="0" w:line="252" w:lineRule="auto"/>
        <w:rPr>
          <w:sz w:val="20"/>
          <w:szCs w:val="20"/>
          <w:color w:val="auto"/>
        </w:rPr>
      </w:pPr>
      <w:r>
        <w:rPr>
          <w:rFonts w:ascii="Times New Roman" w:cs="Times New Roman" w:eastAsia="Times New Roman" w:hAnsi="Times New Roman"/>
          <w:sz w:val="20"/>
          <w:szCs w:val="20"/>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ectPr>
          <w:pgSz w:w="12240" w:h="15840" w:orient="portrait"/>
          <w:cols w:equalWidth="0" w:num="1">
            <w:col w:w="10140"/>
          </w:cols>
          <w:pgMar w:left="1080" w:top="1052"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140"/>
          </w:cols>
          <w:pgMar w:left="1080" w:top="1052" w:right="1020" w:bottom="17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and proprietary rights throughout the world.</w:t>
      </w:r>
    </w:p>
    <w:p>
      <w:pPr>
        <w:spacing w:after="0" w:line="112" w:lineRule="exact"/>
        <w:rPr>
          <w:sz w:val="20"/>
          <w:szCs w:val="20"/>
          <w:color w:val="auto"/>
        </w:rPr>
      </w:pPr>
    </w:p>
    <w:p>
      <w:pPr>
        <w:ind w:firstLine="490"/>
        <w:spacing w:after="0" w:line="236" w:lineRule="auto"/>
        <w:rPr>
          <w:sz w:val="20"/>
          <w:szCs w:val="20"/>
          <w:color w:val="auto"/>
        </w:rPr>
      </w:pPr>
      <w:r>
        <w:rPr>
          <w:rFonts w:ascii="Times New Roman" w:cs="Times New Roman" w:eastAsia="Times New Roman" w:hAnsi="Times New Roman"/>
          <w:sz w:val="20"/>
          <w:szCs w:val="20"/>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77" w:lineRule="exact"/>
        <w:rPr>
          <w:sz w:val="20"/>
          <w:szCs w:val="20"/>
          <w:color w:val="auto"/>
        </w:rPr>
      </w:pPr>
    </w:p>
    <w:p>
      <w:pPr>
        <w:ind w:right="240" w:firstLine="490"/>
        <w:spacing w:after="0" w:line="234"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82" w:lineRule="exact"/>
        <w:rPr>
          <w:sz w:val="20"/>
          <w:szCs w:val="20"/>
          <w:color w:val="auto"/>
        </w:rPr>
      </w:pPr>
    </w:p>
    <w:p>
      <w:pPr>
        <w:ind w:right="40" w:firstLine="490"/>
        <w:spacing w:after="0" w:line="255" w:lineRule="auto"/>
        <w:rPr>
          <w:sz w:val="20"/>
          <w:szCs w:val="20"/>
          <w:color w:val="auto"/>
        </w:rPr>
      </w:pPr>
      <w:r>
        <w:rPr>
          <w:rFonts w:ascii="Times New Roman" w:cs="Times New Roman" w:eastAsia="Times New Roman" w:hAnsi="Times New Roman"/>
          <w:sz w:val="19"/>
          <w:szCs w:val="19"/>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and/or KSI-101, if we rely on a different product, its development could involve the use of government funds, which can require additional compliance aspects to make certain all rights are transferred to or remain with us.</w:t>
      </w:r>
    </w:p>
    <w:p>
      <w:pPr>
        <w:spacing w:after="0" w:line="19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68"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160"/>
          </w:cols>
          <w:pgMar w:left="1080" w:top="1060" w:right="1000" w:bottom="175" w:gutter="0" w:footer="0" w:header="0"/>
          <w:type w:val="continuous"/>
        </w:sectPr>
      </w:pPr>
    </w:p>
    <w:bookmarkStart w:id="57" w:name="page58"/>
    <w:bookmarkEnd w:id="57"/>
    <w:p>
      <w:pPr>
        <w:ind w:firstLine="490"/>
        <w:spacing w:after="0" w:line="234" w:lineRule="auto"/>
        <w:rPr>
          <w:sz w:val="20"/>
          <w:szCs w:val="20"/>
          <w:color w:val="auto"/>
        </w:rPr>
      </w:pPr>
      <w:r>
        <w:rPr>
          <w:rFonts w:ascii="Times New Roman" w:cs="Times New Roman" w:eastAsia="Times New Roman" w:hAnsi="Times New Roman"/>
          <w:sz w:val="20"/>
          <w:szCs w:val="20"/>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82" w:lineRule="exact"/>
        <w:rPr>
          <w:sz w:val="20"/>
          <w:szCs w:val="20"/>
          <w:color w:val="auto"/>
        </w:rPr>
      </w:pPr>
    </w:p>
    <w:p>
      <w:pPr>
        <w:ind w:right="60" w:firstLine="490"/>
        <w:spacing w:after="0" w:line="234" w:lineRule="auto"/>
        <w:rPr>
          <w:sz w:val="20"/>
          <w:szCs w:val="20"/>
          <w:color w:val="auto"/>
        </w:rPr>
      </w:pPr>
      <w:r>
        <w:rPr>
          <w:rFonts w:ascii="Times New Roman" w:cs="Times New Roman" w:eastAsia="Times New Roman" w:hAnsi="Times New Roman"/>
          <w:sz w:val="20"/>
          <w:szCs w:val="20"/>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78"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auto"/>
        </w:rPr>
        <w:t>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w:t>
      </w:r>
    </w:p>
    <w:p>
      <w:pPr>
        <w:spacing w:after="0" w:line="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3"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200"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and data exclusivity for any product candidates we may develop, our business may be materially harmed.</w:t>
      </w:r>
    </w:p>
    <w:p>
      <w:pPr>
        <w:spacing w:after="0" w:line="49"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ectPr>
          <w:pgSz w:w="12240" w:h="15840" w:orient="portrait"/>
          <w:cols w:equalWidth="0" w:num="1">
            <w:col w:w="10160"/>
          </w:cols>
          <w:pgMar w:left="1080" w:top="1052"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160"/>
          </w:cols>
          <w:pgMar w:left="1080" w:top="1052" w:right="1000" w:bottom="175"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12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In addition to seeking patents for our ABC Platform, product candidates and other technologies, we also rely on trade secrets and confidentiality agreements to protect our unpatented know- 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7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21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ectPr>
          <w:pgSz w:w="12240" w:h="15840" w:orient="portrait"/>
          <w:cols w:equalWidth="0" w:num="1">
            <w:col w:w="10160"/>
          </w:cols>
          <w:pgMar w:left="1080" w:top="1060" w:right="1000" w:bottom="175" w:gutter="0" w:footer="0" w:header="0"/>
        </w:sect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160"/>
          </w:cols>
          <w:pgMar w:left="1080" w:top="1060" w:right="1000" w:bottom="175" w:gutter="0" w:footer="0" w:header="0"/>
          <w:type w:val="continuous"/>
        </w:sectPr>
      </w:pPr>
    </w:p>
    <w:bookmarkStart w:id="59" w:name="page60"/>
    <w:bookmarkEnd w:id="59"/>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misappropriation or other violation against us or our collaborators may prevent or delay the development and commercialization of our product candidates, the ABC Platform and other technologies.</w:t>
      </w:r>
    </w:p>
    <w:p>
      <w:pPr>
        <w:spacing w:after="0" w:line="6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procedures including </w:t>
      </w:r>
      <w:r>
        <w:rPr>
          <w:rFonts w:ascii="Times New Roman" w:cs="Times New Roman" w:eastAsia="Times New Roman" w:hAnsi="Times New Roman"/>
          <w:sz w:val="20"/>
          <w:szCs w:val="20"/>
          <w:i w:val="1"/>
          <w:iCs w:val="1"/>
          <w:color w:val="auto"/>
        </w:rPr>
        <w:t xml:space="preserve">inter partes </w:t>
      </w:r>
      <w:r>
        <w:rPr>
          <w:rFonts w:ascii="Times New Roman" w:cs="Times New Roman" w:eastAsia="Times New Roman" w:hAnsi="Times New Roman"/>
          <w:sz w:val="20"/>
          <w:szCs w:val="20"/>
          <w:color w:val="auto"/>
        </w:rPr>
        <w:t>review and post-grant review adds uncertainty to the possibility of challenge to our patents.</w:t>
      </w:r>
    </w:p>
    <w:p>
      <w:pPr>
        <w:spacing w:after="0" w:line="69" w:lineRule="exact"/>
        <w:rPr>
          <w:sz w:val="20"/>
          <w:szCs w:val="20"/>
          <w:color w:val="auto"/>
        </w:rPr>
      </w:pPr>
    </w:p>
    <w:p>
      <w:pPr>
        <w:ind w:firstLine="490"/>
        <w:spacing w:after="0" w:line="229" w:lineRule="auto"/>
        <w:rPr>
          <w:sz w:val="20"/>
          <w:szCs w:val="20"/>
          <w:color w:val="auto"/>
        </w:rPr>
      </w:pPr>
      <w:r>
        <w:rPr>
          <w:rFonts w:ascii="Times New Roman" w:cs="Times New Roman" w:eastAsia="Times New Roman" w:hAnsi="Times New Roman"/>
          <w:sz w:val="20"/>
          <w:szCs w:val="20"/>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be alleged to be infringing.</w:t>
      </w:r>
    </w:p>
    <w:p>
      <w:pPr>
        <w:spacing w:after="0" w:line="75"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70"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We are aware of a number of patents and patent applications that are directed to one or more aspects of tarcocimab, KSI-501, and/or KSI-101. Our intent is to maintain our development efforts under 35 U.S.C. Section 271(e)(1) (which provides a safe harbor from patent infringement claims related to certain drug development activities) through to at least the launch of any tarcocimab, KSI-501, or KSI-101 product. We are aware of at least one pending patent application with claims that are directed to some aspect of tarcocimab, KSI-501, and/or KSI-101 that could, if issued, have a patent term beyond a potential launch date for tarcocimab, KSI-501, or KSI -101. If this were to occur, we may be required to challenge the validity of the claims, obtain a license, modify tarcocimab, KSI-501, or KSI-101, or delay launch. We are also aware of at least one patent family with issued claims that may be relevant to some potential future aspect(s) of KSI-501 and/or KSI-101 and that have a patent term beyond a potential launch date for KSI-501 or KSI-101. If this or any other patent family were perceived as relevant, we may be required to challenge the validity of the claims, obtain a license, modify KSI-501 and/or KSI-101, or delay launch.</w:t>
      </w:r>
    </w:p>
    <w:p>
      <w:pPr>
        <w:spacing w:after="0" w:line="74" w:lineRule="exact"/>
        <w:rPr>
          <w:sz w:val="20"/>
          <w:szCs w:val="20"/>
          <w:color w:val="auto"/>
        </w:rPr>
      </w:pPr>
    </w:p>
    <w:p>
      <w:pPr>
        <w:ind w:firstLine="490"/>
        <w:spacing w:after="0" w:line="238" w:lineRule="auto"/>
        <w:rPr>
          <w:sz w:val="20"/>
          <w:szCs w:val="20"/>
          <w:color w:val="auto"/>
        </w:rPr>
      </w:pPr>
      <w:r>
        <w:rPr>
          <w:rFonts w:ascii="Times New Roman" w:cs="Times New Roman" w:eastAsia="Times New Roman" w:hAnsi="Times New Roman"/>
          <w:sz w:val="20"/>
          <w:szCs w:val="20"/>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non-tarcocimab, non-KSI-501, and/or non-KSI-101 products would include the following: challenge the validity of the claims, obtain a license, or modify the non-tarcocimab, non-KSI-501, and/or non-KSI-101 products.</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160"/>
          </w:cols>
          <w:pgMar w:left="1080" w:top="1060" w:right="1000" w:bottom="175" w:gutter="0" w:footer="0" w:header="0"/>
          <w:type w:val="continuous"/>
        </w:sectPr>
      </w:pPr>
    </w:p>
    <w:bookmarkStart w:id="60" w:name="page61"/>
    <w:bookmarkEnd w:id="60"/>
    <w:p>
      <w:pPr>
        <w:ind w:right="20" w:firstLine="490"/>
        <w:spacing w:after="0" w:line="230" w:lineRule="auto"/>
        <w:rPr>
          <w:sz w:val="20"/>
          <w:szCs w:val="20"/>
          <w:color w:val="auto"/>
        </w:rPr>
      </w:pPr>
      <w:r>
        <w:rPr>
          <w:rFonts w:ascii="Times New Roman" w:cs="Times New Roman" w:eastAsia="Times New Roman" w:hAnsi="Times New Roman"/>
          <w:sz w:val="20"/>
          <w:szCs w:val="20"/>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74" w:lineRule="exact"/>
        <w:rPr>
          <w:sz w:val="20"/>
          <w:szCs w:val="20"/>
          <w:color w:val="auto"/>
        </w:rPr>
      </w:pPr>
    </w:p>
    <w:p>
      <w:pPr>
        <w:ind w:right="180" w:firstLine="490"/>
        <w:spacing w:after="0" w:line="233" w:lineRule="auto"/>
        <w:rPr>
          <w:sz w:val="20"/>
          <w:szCs w:val="20"/>
          <w:color w:val="auto"/>
        </w:rPr>
      </w:pPr>
      <w:r>
        <w:rPr>
          <w:rFonts w:ascii="Times New Roman" w:cs="Times New Roman" w:eastAsia="Times New Roman" w:hAnsi="Times New Roman"/>
          <w:sz w:val="20"/>
          <w:szCs w:val="20"/>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and other intellectual property rights, which could be expensive, time consuming and unsuccessful.</w:t>
      </w:r>
    </w:p>
    <w:p>
      <w:pPr>
        <w:spacing w:after="0" w:line="53" w:lineRule="exact"/>
        <w:rPr>
          <w:sz w:val="20"/>
          <w:szCs w:val="20"/>
          <w:color w:val="auto"/>
        </w:rPr>
      </w:pPr>
    </w:p>
    <w:p>
      <w:pPr>
        <w:ind w:right="20" w:firstLine="490"/>
        <w:spacing w:after="0" w:line="230" w:lineRule="auto"/>
        <w:rPr>
          <w:sz w:val="20"/>
          <w:szCs w:val="20"/>
          <w:color w:val="auto"/>
        </w:rPr>
      </w:pPr>
      <w:r>
        <w:rPr>
          <w:rFonts w:ascii="Times New Roman" w:cs="Times New Roman" w:eastAsia="Times New Roman" w:hAnsi="Times New Roman"/>
          <w:sz w:val="20"/>
          <w:szCs w:val="20"/>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5"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We rely on trademarks, service marks, trade 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w:t>
      </w:r>
    </w:p>
    <w:p>
      <w:pPr>
        <w:sectPr>
          <w:pgSz w:w="12240" w:h="15840" w:orient="portrait"/>
          <w:cols w:equalWidth="0" w:num="1">
            <w:col w:w="10140"/>
          </w:cols>
          <w:pgMar w:left="1080" w:top="1049" w:right="1020" w:bottom="175"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140"/>
          </w:cols>
          <w:pgMar w:left="1080" w:top="1049" w:right="1020" w:bottom="175" w:gutter="0" w:footer="0" w:header="0"/>
          <w:type w:val="continuous"/>
        </w:sectPr>
      </w:pPr>
    </w:p>
    <w:bookmarkStart w:id="61" w:name="page62"/>
    <w:bookmarkEnd w:id="61"/>
    <w:p>
      <w:pPr>
        <w:ind w:right="200"/>
        <w:spacing w:after="0" w:line="252" w:lineRule="auto"/>
        <w:rPr>
          <w:sz w:val="20"/>
          <w:szCs w:val="20"/>
          <w:color w:val="auto"/>
        </w:rPr>
      </w:pPr>
      <w:r>
        <w:rPr>
          <w:rFonts w:ascii="Times New Roman" w:cs="Times New Roman" w:eastAsia="Times New Roman" w:hAnsi="Times New Roman"/>
          <w:sz w:val="20"/>
          <w:szCs w:val="20"/>
          <w:color w:val="auto"/>
        </w:rPr>
        <w:t>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120"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3" w:lineRule="exact"/>
        <w:rPr>
          <w:sz w:val="20"/>
          <w:szCs w:val="20"/>
          <w:color w:val="auto"/>
        </w:rPr>
      </w:pPr>
    </w:p>
    <w:p>
      <w:pPr>
        <w:ind w:left="980" w:right="28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make products that are similar to our product candidates or utilize similar technology but that are not covered by the claims of the patents that we may license or own;</w:t>
      </w:r>
    </w:p>
    <w:p>
      <w:pPr>
        <w:spacing w:after="0" w:line="64" w:lineRule="exact"/>
        <w:rPr>
          <w:rFonts w:ascii="Arial" w:cs="Arial" w:eastAsia="Arial" w:hAnsi="Arial"/>
          <w:sz w:val="20"/>
          <w:szCs w:val="20"/>
          <w:color w:val="auto"/>
        </w:rPr>
      </w:pPr>
    </w:p>
    <w:p>
      <w:pPr>
        <w:ind w:left="980" w:right="64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current or future licensors or collaborators, might not have been the first to make the inventions covered by the issued patent or pending patent application that we license or own now or in the future;</w:t>
      </w:r>
    </w:p>
    <w:p>
      <w:pPr>
        <w:spacing w:after="0" w:line="64" w:lineRule="exact"/>
        <w:rPr>
          <w:rFonts w:ascii="Arial" w:cs="Arial" w:eastAsia="Arial" w:hAnsi="Arial"/>
          <w:sz w:val="20"/>
          <w:szCs w:val="20"/>
          <w:color w:val="auto"/>
        </w:rPr>
      </w:pPr>
    </w:p>
    <w:p>
      <w:pPr>
        <w:ind w:left="980" w:right="44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current or future licensors or collaborators, might not have been the first to file patent applications covering certain of our or their inventions;</w:t>
      </w:r>
    </w:p>
    <w:p>
      <w:pPr>
        <w:spacing w:after="0" w:line="64" w:lineRule="exact"/>
        <w:rPr>
          <w:rFonts w:ascii="Arial" w:cs="Arial" w:eastAsia="Arial" w:hAnsi="Arial"/>
          <w:sz w:val="20"/>
          <w:szCs w:val="20"/>
          <w:color w:val="auto"/>
        </w:rPr>
      </w:pPr>
    </w:p>
    <w:p>
      <w:pPr>
        <w:ind w:left="980" w:right="4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owned or licensed intellectual property rights;</w:t>
      </w:r>
    </w:p>
    <w:p>
      <w:pPr>
        <w:spacing w:after="0" w:line="64" w:lineRule="exact"/>
        <w:rPr>
          <w:rFonts w:ascii="Arial" w:cs="Arial" w:eastAsia="Arial" w:hAnsi="Arial"/>
          <w:sz w:val="20"/>
          <w:szCs w:val="20"/>
          <w:color w:val="auto"/>
        </w:rPr>
      </w:pPr>
    </w:p>
    <w:p>
      <w:pPr>
        <w:ind w:left="980" w:right="56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our current or future pending owned or licensed patent applications will not lead to issued patents;</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 or other third parties;</w:t>
      </w:r>
    </w:p>
    <w:p>
      <w:pPr>
        <w:spacing w:after="0" w:line="64" w:lineRule="exact"/>
        <w:rPr>
          <w:rFonts w:ascii="Arial" w:cs="Arial" w:eastAsia="Arial" w:hAnsi="Arial"/>
          <w:sz w:val="20"/>
          <w:szCs w:val="20"/>
          <w:color w:val="auto"/>
        </w:rPr>
      </w:pPr>
    </w:p>
    <w:p>
      <w:pPr>
        <w:ind w:left="980" w:right="40" w:hanging="490"/>
        <w:spacing w:after="0" w:line="258"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harm our business; and</w:t>
      </w:r>
    </w:p>
    <w:p>
      <w:pPr>
        <w:spacing w:after="0" w:line="133" w:lineRule="exact"/>
        <w:rPr>
          <w:rFonts w:ascii="Arial" w:cs="Arial" w:eastAsia="Arial" w:hAnsi="Arial"/>
          <w:sz w:val="20"/>
          <w:szCs w:val="20"/>
          <w:color w:val="auto"/>
        </w:rPr>
      </w:pPr>
    </w:p>
    <w:p>
      <w:pPr>
        <w:ind w:left="980" w:right="220" w:hanging="490"/>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file a patent covering such intellectual property.</w:t>
      </w:r>
    </w:p>
    <w:p>
      <w:pPr>
        <w:spacing w:after="0" w:line="42" w:lineRule="exact"/>
        <w:rPr>
          <w:sz w:val="20"/>
          <w:szCs w:val="20"/>
          <w:color w:val="auto"/>
        </w:rPr>
      </w:pPr>
    </w:p>
    <w:p>
      <w:pPr>
        <w:ind w:right="100" w:firstLine="490"/>
        <w:spacing w:after="0" w:line="267" w:lineRule="auto"/>
        <w:rPr>
          <w:sz w:val="20"/>
          <w:szCs w:val="20"/>
          <w:color w:val="auto"/>
        </w:rPr>
      </w:pPr>
      <w:r>
        <w:rPr>
          <w:rFonts w:ascii="Times New Roman" w:cs="Times New Roman" w:eastAsia="Times New Roman" w:hAnsi="Times New Roman"/>
          <w:sz w:val="20"/>
          <w:szCs w:val="20"/>
          <w:color w:val="auto"/>
        </w:rPr>
        <w:t>Should any of these events occur, they could have a material adverse effect on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Operations</w:t>
      </w:r>
    </w:p>
    <w:p>
      <w:pPr>
        <w:spacing w:after="0" w:line="11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4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spacing w:after="0" w:line="66" w:lineRule="exact"/>
        <w:rPr>
          <w:sz w:val="20"/>
          <w:szCs w:val="20"/>
          <w:color w:val="auto"/>
        </w:rPr>
      </w:pPr>
    </w:p>
    <w:p>
      <w:pPr>
        <w:ind w:right="80" w:firstLine="490"/>
        <w:spacing w:after="0" w:line="237"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jc w:val="both"/>
        <w:ind w:right="140" w:firstLine="490"/>
        <w:spacing w:after="0" w:line="243" w:lineRule="auto"/>
        <w:rPr>
          <w:sz w:val="20"/>
          <w:szCs w:val="20"/>
          <w:color w:val="auto"/>
        </w:rPr>
      </w:pPr>
      <w:r>
        <w:rPr>
          <w:rFonts w:ascii="Times New Roman" w:cs="Times New Roman" w:eastAsia="Times New Roman" w:hAnsi="Times New Roman"/>
          <w:sz w:val="20"/>
          <w:szCs w:val="20"/>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ectPr>
          <w:pgSz w:w="12240" w:h="15840" w:orient="portrait"/>
          <w:cols w:equalWidth="0" w:num="1">
            <w:col w:w="10140"/>
          </w:cols>
          <w:pgMar w:left="1080" w:top="1060"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140"/>
          </w:cols>
          <w:pgMar w:left="1080" w:top="1060" w:right="1020" w:bottom="175" w:gutter="0" w:footer="0" w:header="0"/>
          <w:type w:val="continuous"/>
        </w:sectPr>
      </w:pPr>
    </w:p>
    <w:bookmarkStart w:id="62" w:name="page63"/>
    <w:bookmarkEnd w:id="62"/>
    <w:p>
      <w:pPr>
        <w:ind w:firstLine="490"/>
        <w:spacing w:after="0" w:line="235" w:lineRule="auto"/>
        <w:rPr>
          <w:sz w:val="20"/>
          <w:szCs w:val="20"/>
          <w:color w:val="auto"/>
        </w:rPr>
      </w:pPr>
      <w:r>
        <w:rPr>
          <w:rFonts w:ascii="Times New Roman" w:cs="Times New Roman" w:eastAsia="Times New Roman" w:hAnsi="Times New Roman"/>
          <w:sz w:val="20"/>
          <w:szCs w:val="20"/>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201"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will need to grow the size and capabilities of our organization, and we may experience difficulties in managing this growth.</w:t>
      </w:r>
    </w:p>
    <w:p>
      <w:pPr>
        <w:spacing w:after="0" w:line="4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2025, we had 124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88" w:lineRule="exact"/>
        <w:rPr>
          <w:sz w:val="20"/>
          <w:szCs w:val="20"/>
          <w:color w:val="auto"/>
        </w:rPr>
      </w:pPr>
    </w:p>
    <w:p>
      <w:pPr>
        <w:ind w:left="980" w:hanging="490"/>
        <w:spacing w:after="0"/>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recruiting, integrating, retaining and motivating additional employees;</w:t>
      </w:r>
    </w:p>
    <w:p>
      <w:pPr>
        <w:spacing w:after="0" w:line="133" w:lineRule="exact"/>
        <w:rPr>
          <w:rFonts w:ascii="Arial" w:cs="Arial" w:eastAsia="Arial" w:hAnsi="Arial"/>
          <w:sz w:val="20"/>
          <w:szCs w:val="20"/>
          <w:color w:val="auto"/>
        </w:rPr>
      </w:pPr>
    </w:p>
    <w:p>
      <w:pPr>
        <w:ind w:left="980" w:right="200" w:hanging="490"/>
        <w:spacing w:after="0" w:line="258" w:lineRule="auto"/>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81" w:lineRule="exact"/>
        <w:rPr>
          <w:rFonts w:ascii="Arial" w:cs="Arial" w:eastAsia="Arial" w:hAnsi="Arial"/>
          <w:sz w:val="20"/>
          <w:szCs w:val="20"/>
          <w:color w:val="auto"/>
        </w:rPr>
      </w:pPr>
    </w:p>
    <w:p>
      <w:pPr>
        <w:ind w:left="980" w:hanging="490"/>
        <w:spacing w:after="0"/>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our operational, financial and management controls, reporting systems and procedures;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managing increasing operational and managerial complexity.</w:t>
      </w:r>
    </w:p>
    <w:p>
      <w:pPr>
        <w:spacing w:after="0" w:line="119"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6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2"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8" w:lineRule="exact"/>
        <w:rPr>
          <w:sz w:val="20"/>
          <w:szCs w:val="20"/>
          <w:color w:val="auto"/>
        </w:rPr>
      </w:pPr>
    </w:p>
    <w:p>
      <w:pPr>
        <w:jc w:val="both"/>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those of third parties with whom we work, or our data, were compromised, we could experience adverse consequences resulting from such compromise, including regulatory investigations or actions, significant fines or other liability, interruptions of our development programs, harm to our reputation, and other adverse consequences.</w:t>
      </w:r>
    </w:p>
    <w:p>
      <w:pPr>
        <w:spacing w:after="0" w:line="7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Cyberattacks, malicious internet-based activity, online and offline fraud, and other similar activities threaten the confidentiality, integrity, and availability of our sensitive information and information technology systems, and those of our research collaborators, contractors, consultants, and other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 attacks, including without limitation nation-state actors for geopolitical reasons and in conjunction with military conflicts and defense activities. During times of war and other major conflicts, we and the third parties with whom we work are vulnerable to a heightened risk of attacks, including retaliatory cyber-attacks that could materially disrupt our systems and operations and supply chain.</w:t>
      </w:r>
    </w:p>
    <w:p>
      <w:pPr>
        <w:spacing w:after="0" w:line="82" w:lineRule="exact"/>
        <w:rPr>
          <w:sz w:val="20"/>
          <w:szCs w:val="20"/>
          <w:color w:val="auto"/>
        </w:rPr>
      </w:pPr>
    </w:p>
    <w:p>
      <w:pPr>
        <w:ind w:right="80" w:firstLine="490"/>
        <w:spacing w:after="0" w:line="270" w:lineRule="auto"/>
        <w:rPr>
          <w:sz w:val="20"/>
          <w:szCs w:val="20"/>
          <w:color w:val="auto"/>
        </w:rPr>
      </w:pPr>
      <w:r>
        <w:rPr>
          <w:rFonts w:ascii="Times New Roman" w:cs="Times New Roman" w:eastAsia="Times New Roman" w:hAnsi="Times New Roman"/>
          <w:sz w:val="19"/>
          <w:szCs w:val="19"/>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supply-</w:t>
      </w:r>
    </w:p>
    <w:p>
      <w:pPr>
        <w:sectPr>
          <w:pgSz w:w="12240" w:h="15840" w:orient="portrait"/>
          <w:cols w:equalWidth="0" w:num="1">
            <w:col w:w="10160"/>
          </w:cols>
          <w:pgMar w:left="1080" w:top="1052" w:right="1000" w:bottom="175"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160"/>
          </w:cols>
          <w:pgMar w:left="1080" w:top="1052" w:right="1000" w:bottom="175" w:gutter="0" w:footer="0" w:header="0"/>
          <w:type w:val="continuous"/>
        </w:sectPr>
      </w:pPr>
    </w:p>
    <w:bookmarkStart w:id="63" w:name="page64"/>
    <w:bookmarkEnd w:id="63"/>
    <w:p>
      <w:pPr>
        <w:ind w:right="120"/>
        <w:spacing w:after="0" w:line="247" w:lineRule="auto"/>
        <w:rPr>
          <w:sz w:val="20"/>
          <w:szCs w:val="20"/>
          <w:color w:val="auto"/>
        </w:rPr>
      </w:pPr>
      <w:r>
        <w:rPr>
          <w:rFonts w:ascii="Times New Roman" w:cs="Times New Roman" w:eastAsia="Times New Roman" w:hAnsi="Times New Roman"/>
          <w:sz w:val="20"/>
          <w:szCs w:val="20"/>
          <w:color w:val="auto"/>
        </w:rPr>
        <w:t>chain attacks, software bugs, server malfunctions, software or hardware failures, loss of data or other information technology assets, adware, attacks enhanced or facilitated by artificial intelligence, or AI, and other similar threats. 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Additionally, remote work increases risks to our information technology systems and data, as our personnel utilize network connections, computer and devices outside of our premises or corporate networks,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We rely on third parties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the third parties with whom we work fail to satisfy their privacy or security -related obligations to us, any award may be insufficient to cover our damages, or we may be unable to recover such award. Similarly, supply-chain attacks have increased in frequency and severity, and we cannot guarantee that third parties’ infrastructure in our supply chain or that of the third parties with whom we work have not been compromised. Likewise, we rely on third-party research institution collaborators, other contractors and consultants for many aspects of our business, including research and development activities and manufacturing of our product candidates, and similar events relating to their information systems could also have a material adverse effect on our business.</w:t>
      </w:r>
    </w:p>
    <w:p>
      <w:pPr>
        <w:spacing w:after="0" w:line="12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in the past (and may in the future) experienced delays in developing and deploying remedial measures designed to address identified vulnerabilities.</w:t>
      </w:r>
    </w:p>
    <w:p>
      <w:pPr>
        <w:spacing w:after="0" w:line="120"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Certain of the previously identified or similar threats have in the past and may in the future cause a security incident or other interruption that has in the past and may in the future result in unauthorized, unlawful, or accidental acquisition, modification, destruction, loss, alteration, encryption, disclosure of, access to our sensitive information or information technology systems, or those of the third parties with whom we work. For example, we have been the target of unsuccessful phishing attempts in the past, and expect such attempts will continue in the future. Although to our knowledge, we have not experienced a material system failure or security incident to date, if such an event were to occur, it could result in a material disruption of our development programs and our business operations (for example, the loss of clinical trial data from completed, on-going or future clinical trials).</w:t>
      </w:r>
    </w:p>
    <w:p>
      <w:pPr>
        <w:spacing w:after="0" w:line="122"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We expend resources and may modify our business activities (including our clinical trial activities) to try to protect against security incidents. Certain data privacy and security obligations have required us to implement and maintain specific security measures, industry-standard or reasonable security measures to protect our information technology systems and sensitive information. Additionally, applicable data protection requirements may require us, or we may voluntarily choose, to notify relevant stakeholders of security incidents, including affected individuals, partners, collaborators, regulators, law enforcement agencies, and others,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w:t>
      </w:r>
    </w:p>
    <w:p>
      <w:pPr>
        <w:sectPr>
          <w:pgSz w:w="12240" w:h="15840" w:orient="portrait"/>
          <w:cols w:equalWidth="0" w:num="1">
            <w:col w:w="10140"/>
          </w:cols>
          <w:pgMar w:left="1080" w:top="1060" w:right="1020" w:bottom="175"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140"/>
          </w:cols>
          <w:pgMar w:left="1080" w:top="1060" w:right="1020" w:bottom="175" w:gutter="0" w:footer="0" w:header="0"/>
          <w:type w:val="continuous"/>
        </w:sectPr>
      </w:pPr>
    </w:p>
    <w:bookmarkStart w:id="64" w:name="page65"/>
    <w:bookmarkEnd w:id="64"/>
    <w:p>
      <w:pPr>
        <w:ind w:right="120"/>
        <w:spacing w:after="0" w:line="249" w:lineRule="auto"/>
        <w:rPr>
          <w:sz w:val="20"/>
          <w:szCs w:val="20"/>
          <w:color w:val="auto"/>
        </w:rPr>
      </w:pPr>
      <w:r>
        <w:rPr>
          <w:rFonts w:ascii="Times New Roman" w:cs="Times New Roman" w:eastAsia="Times New Roman" w:hAnsi="Times New Roman"/>
          <w:sz w:val="20"/>
          <w:szCs w:val="20"/>
          <w:color w:val="auto"/>
        </w:rPr>
        <w:t>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w:t>
      </w:r>
    </w:p>
    <w:p>
      <w:pPr>
        <w:spacing w:after="0" w:line="117"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Some of our contracts may not contain limitations of liability, and even where they do, there can be no assurance that limitations or exclusions of liability in our contracts may not be enforceable or adequate or protect us from liability or damages.</w:t>
      </w:r>
    </w:p>
    <w:p>
      <w:pPr>
        <w:spacing w:after="0" w:line="10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materially and adversely affect our reputation, business, financial condition and results of operations.</w:t>
      </w:r>
    </w:p>
    <w:p>
      <w:pPr>
        <w:spacing w:after="0" w:line="11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disruptions could seriously harm our future revenue and financial condition and increase our costs and expenses.</w:t>
      </w:r>
    </w:p>
    <w:p>
      <w:pPr>
        <w:spacing w:after="0" w:line="13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Our operations, and those of our third party vendors,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Reductions in force and decreased funding at FDA may delay review and response to our submissions and applications and have material adverse impact on our business.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spacing w:after="0" w:line="92"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Our enterprise resource planning, or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economic, political, regulatory and other risks associated with international operations.</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83" w:lineRule="exact"/>
        <w:rPr>
          <w:sz w:val="20"/>
          <w:szCs w:val="20"/>
          <w:color w:val="auto"/>
        </w:rPr>
      </w:pPr>
    </w:p>
    <w:p>
      <w:pPr>
        <w:ind w:left="980" w:hanging="490"/>
        <w:spacing w:after="0"/>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economic weakness, including inflation or political instability in particular non-U.S. economies and markets;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and changing regulatory requirements, pricing and reimbursement regimes in non-U.S. countries;</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160"/>
          </w:cols>
          <w:pgMar w:left="1080" w:top="1060" w:right="1000" w:bottom="175" w:gutter="0" w:footer="0" w:header="0"/>
          <w:type w:val="continuous"/>
        </w:sectPr>
      </w:pPr>
    </w:p>
    <w:bookmarkStart w:id="65" w:name="page66"/>
    <w:bookmarkEnd w:id="65"/>
    <w:p>
      <w:pPr>
        <w:ind w:left="980" w:right="140" w:hanging="490"/>
        <w:spacing w:after="0" w:line="276" w:lineRule="auto"/>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enforcing our contractual and intellectual property rights, especially in those foreign countries that do not respect and protect intellectual property rights to the same extent as the United States;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compliance with non-U.S. laws and regulations;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non-U.S. regulations and customs, tariffs and trade barriers;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non-U.S. currency exchange rates and currency controls;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 specific country’s or region’s political or economic environment;</w:t>
      </w:r>
    </w:p>
    <w:p>
      <w:pPr>
        <w:spacing w:after="0" w:line="133" w:lineRule="exact"/>
        <w:rPr>
          <w:rFonts w:ascii="Arial" w:cs="Arial" w:eastAsia="Arial" w:hAnsi="Arial"/>
          <w:sz w:val="20"/>
          <w:szCs w:val="20"/>
          <w:color w:val="auto"/>
        </w:rPr>
      </w:pPr>
    </w:p>
    <w:p>
      <w:pPr>
        <w:ind w:left="980" w:right="40" w:hanging="490"/>
        <w:spacing w:after="0" w:line="276" w:lineRule="auto"/>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trade protection measures, import or export licensing requirements or other restrictive actions by U.S. or non-U.S. governments;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negative consequences from changes in tax laws;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United States;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associated with staffing and managing international operations, including differing labor relations;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liability under the FCPA or comparable foreign laws;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or natural disasters.</w:t>
      </w:r>
    </w:p>
    <w:p>
      <w:pPr>
        <w:spacing w:after="0" w:line="11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These and other risks associated with our planned international operations may materially adversely affect our business, financial condition, and ability to attain profitable operations.</w:t>
      </w:r>
    </w:p>
    <w:p>
      <w:pPr>
        <w:spacing w:after="0" w:line="202"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International trade policies, including tariffs, sanctions and trade barriers may adversely affect our business, financial condition, results of operations and prospects.</w:t>
      </w:r>
    </w:p>
    <w:p>
      <w:pPr>
        <w:spacing w:after="0" w:line="16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8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currently rely, and expect to continue to rely, on third parties that are located outside the United States for the manufacture of our product candidates for clinical testing, as well as for manufacture of any products that we may commercialize, if approved. Current or future tariffs may result in increased research and development expenses, including with respect to increased manufacturing costs.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In addition, as we advance toward commercialization in the future, tariffs and trade restrictions could hinder our ability to establish cost-effective manufacturing capabilities.</w:t>
      </w:r>
    </w:p>
    <w:p>
      <w:pPr>
        <w:spacing w:after="0" w:line="86"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Foreign governments may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w:t>
      </w:r>
    </w:p>
    <w:p>
      <w:pPr>
        <w:sectPr>
          <w:pgSz w:w="12240" w:h="15840" w:orient="portrait"/>
          <w:cols w:equalWidth="0" w:num="1">
            <w:col w:w="10140"/>
          </w:cols>
          <w:pgMar w:left="1080" w:top="1074" w:right="1020" w:bottom="175"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140"/>
          </w:cols>
          <w:pgMar w:left="1080" w:top="1074" w:right="1020" w:bottom="175" w:gutter="0" w:footer="0" w:header="0"/>
          <w:type w:val="continuous"/>
        </w:sectPr>
      </w:pPr>
    </w:p>
    <w:bookmarkStart w:id="66" w:name="page67"/>
    <w:bookmarkEnd w:id="66"/>
    <w:p>
      <w:pPr>
        <w:ind w:right="20"/>
        <w:spacing w:after="0" w:line="258" w:lineRule="auto"/>
        <w:rPr>
          <w:sz w:val="20"/>
          <w:szCs w:val="20"/>
          <w:color w:val="auto"/>
        </w:rPr>
      </w:pPr>
      <w:r>
        <w:rPr>
          <w:rFonts w:ascii="Times New Roman" w:cs="Times New Roman" w:eastAsia="Times New Roman" w:hAnsi="Times New Roman"/>
          <w:sz w:val="20"/>
          <w:szCs w:val="20"/>
          <w:color w:val="auto"/>
        </w:rPr>
        <w:t>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Annual Report for the fiscal year ended December 31, 2025.</w:t>
      </w:r>
    </w:p>
    <w:p>
      <w:pPr>
        <w:spacing w:after="0" w:line="206"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materially and adversely affected in the future by the effects of disease outbreaks, epidemics and pandemics, as well as the business or operations of our third parties with whom we conduct business.</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Our business could be materially and adversely affected by health epidemics in regions where we have concentrations of clinical trial sites or other business operations and could cause significant disruption in the operations of third parties upon whom we rely.</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Our employees and our third parties may not be able to travel to study sites, impacting further site initiations and in-person monitoring of study data quality. Our other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w:t>
      </w:r>
    </w:p>
    <w:p>
      <w:pPr>
        <w:spacing w:after="0" w:line="8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Financial Condition and Capital Requirements</w:t>
      </w:r>
    </w:p>
    <w:p>
      <w:pPr>
        <w:spacing w:after="0" w:line="244"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4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We have incurred net losses in each reporting period since our inception, including net losses of $230.0 million, $176.2 million and $260.5 million for the years ended December 31, 2025, 2024 and 2023, respectively. As of December 31, 2025, we had an accumulated deficit of $1,559 million.</w:t>
      </w:r>
    </w:p>
    <w:p>
      <w:pPr>
        <w:spacing w:after="0" w:line="6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w:t>
      </w:r>
    </w:p>
    <w:p>
      <w:pPr>
        <w:spacing w:after="0" w:line="77"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auto"/>
        </w:rPr>
        <w:t>We expect to continue to incur significant and increasingly higher expenses and operating losses for the foreseeable future. We anticipate that our expenses will increase substantially if and as we:</w:t>
      </w:r>
    </w:p>
    <w:p>
      <w:pPr>
        <w:spacing w:after="0" w:line="64" w:lineRule="exact"/>
        <w:rPr>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progress our current and any future product candidates through preclinical and clinical development;</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work with our contract manufacturers to scale up the manufacturing processes for our product candidates or, in the future, establish and operate a manufacturing facility;</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160"/>
          </w:cols>
          <w:pgMar w:left="1080" w:top="1060" w:right="1000" w:bottom="175" w:gutter="0" w:footer="0" w:header="0"/>
          <w:type w:val="continuous"/>
        </w:sectPr>
      </w:pPr>
    </w:p>
    <w:bookmarkStart w:id="67" w:name="page68"/>
    <w:bookmarkEnd w:id="67"/>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our research and discovery activities;</w:t>
      </w:r>
    </w:p>
    <w:p>
      <w:pPr>
        <w:spacing w:after="0" w:line="133" w:lineRule="exact"/>
        <w:rPr>
          <w:rFonts w:ascii="Arial" w:cs="Arial" w:eastAsia="Arial" w:hAnsi="Arial"/>
          <w:sz w:val="20"/>
          <w:szCs w:val="20"/>
          <w:color w:val="auto"/>
        </w:rPr>
      </w:pPr>
    </w:p>
    <w:p>
      <w:pPr>
        <w:ind w:left="980" w:right="660" w:hanging="490"/>
        <w:spacing w:after="0" w:line="276" w:lineRule="auto"/>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initiate and conduct additional preclinical, clinical or other studies for our current and any future product candidates;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change or add additional contract manufacturers or suppliers;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seek regulatory approvals and marketing authorizations for our product candidates;</w:t>
      </w:r>
    </w:p>
    <w:p>
      <w:pPr>
        <w:spacing w:after="0" w:line="133" w:lineRule="exact"/>
        <w:rPr>
          <w:rFonts w:ascii="Arial" w:cs="Arial" w:eastAsia="Arial" w:hAnsi="Arial"/>
          <w:sz w:val="20"/>
          <w:szCs w:val="20"/>
          <w:color w:val="auto"/>
        </w:rPr>
      </w:pPr>
    </w:p>
    <w:p>
      <w:pPr>
        <w:ind w:left="980" w:right="380" w:hanging="490"/>
        <w:spacing w:after="0" w:line="276" w:lineRule="auto"/>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sales, marketing and distribution infrastructure to commercialize any products for which we obtain approval;</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the development of our ABC Platform;</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acquire or in-license product candidates, intellectual property and technologies;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make milestone, royalty or other payments due under any current or future collaboration or license agreements;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obtain, maintain, expand, protect and enforce our intellectual property portfolio;</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attract, hire and retain qualified personnel;</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any delays or encounter other issues related to our operations;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meet the requirements and demands of being a public company;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defend against any product liability claims or other lawsuits related to our products.</w:t>
      </w:r>
    </w:p>
    <w:p>
      <w:pPr>
        <w:spacing w:after="0" w:line="119"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ability to generate revenue and achieve profitability depends significantly on many factors, including:</w:t>
      </w:r>
    </w:p>
    <w:p>
      <w:pPr>
        <w:spacing w:after="0" w:line="134" w:lineRule="exact"/>
        <w:rPr>
          <w:sz w:val="20"/>
          <w:szCs w:val="20"/>
          <w:color w:val="auto"/>
        </w:rPr>
      </w:pPr>
    </w:p>
    <w:p>
      <w:pPr>
        <w:ind w:left="980" w:hanging="490"/>
        <w:spacing w:after="0"/>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completing research and preclinical and clinical development of our product candidates;</w:t>
      </w:r>
    </w:p>
    <w:p>
      <w:pPr>
        <w:spacing w:after="0" w:line="133" w:lineRule="exact"/>
        <w:rPr>
          <w:rFonts w:ascii="Arial" w:cs="Arial" w:eastAsia="Arial" w:hAnsi="Arial"/>
          <w:sz w:val="20"/>
          <w:szCs w:val="20"/>
          <w:color w:val="auto"/>
        </w:rPr>
      </w:pPr>
    </w:p>
    <w:p>
      <w:pPr>
        <w:ind w:left="980" w:right="220" w:hanging="490"/>
        <w:spacing w:after="0" w:line="276" w:lineRule="auto"/>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regulatory approvals and marketing authorizations for product candidates for which we successfully complete clinical development and clinical trials;</w:t>
      </w:r>
    </w:p>
    <w:p>
      <w:pPr>
        <w:spacing w:after="0" w:line="64" w:lineRule="exact"/>
        <w:rPr>
          <w:rFonts w:ascii="Arial" w:cs="Arial" w:eastAsia="Arial" w:hAnsi="Arial"/>
          <w:sz w:val="20"/>
          <w:szCs w:val="20"/>
          <w:color w:val="auto"/>
        </w:rPr>
      </w:pPr>
    </w:p>
    <w:p>
      <w:pPr>
        <w:jc w:val="both"/>
        <w:ind w:left="980" w:right="140" w:hanging="490"/>
        <w:spacing w:after="0" w:line="278" w:lineRule="auto"/>
        <w:tabs>
          <w:tab w:leader="none" w:pos="98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64" w:lineRule="exact"/>
        <w:rPr>
          <w:rFonts w:ascii="Arial" w:cs="Arial" w:eastAsia="Arial" w:hAnsi="Arial"/>
          <w:sz w:val="19"/>
          <w:szCs w:val="19"/>
          <w:color w:val="auto"/>
        </w:rPr>
      </w:pPr>
    </w:p>
    <w:p>
      <w:pPr>
        <w:ind w:left="980" w:hanging="490"/>
        <w:spacing w:after="0"/>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assessing, acquiring and/or developing new product candidates;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negotiating favorable terms in any collaboration, licensing or other arrangements into which we may enter;</w:t>
      </w:r>
    </w:p>
    <w:p>
      <w:pPr>
        <w:spacing w:after="0" w:line="133" w:lineRule="exact"/>
        <w:rPr>
          <w:rFonts w:ascii="Arial" w:cs="Arial" w:eastAsia="Arial" w:hAnsi="Arial"/>
          <w:sz w:val="20"/>
          <w:szCs w:val="20"/>
          <w:color w:val="auto"/>
        </w:rPr>
      </w:pPr>
    </w:p>
    <w:p>
      <w:pPr>
        <w:ind w:left="980" w:right="80" w:hanging="490"/>
        <w:spacing w:after="0" w:line="258" w:lineRule="auto"/>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81" w:lineRule="exact"/>
        <w:rPr>
          <w:rFonts w:ascii="Arial" w:cs="Arial" w:eastAsia="Arial" w:hAnsi="Arial"/>
          <w:sz w:val="20"/>
          <w:szCs w:val="20"/>
          <w:color w:val="auto"/>
        </w:rPr>
      </w:pPr>
    </w:p>
    <w:p>
      <w:pPr>
        <w:ind w:left="980" w:right="80" w:hanging="490"/>
        <w:spacing w:after="0" w:line="276" w:lineRule="auto"/>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an adequate price for our product candidates, both in the United States and in foreign countries where our products are commercialized;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adequate reimbursement for our product candidates from payors;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market acceptance of our product candidates as viable treatment options;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addressing any competing technological and market developments;</w:t>
      </w:r>
    </w:p>
    <w:p>
      <w:pPr>
        <w:spacing w:after="0" w:line="133" w:lineRule="exact"/>
        <w:rPr>
          <w:rFonts w:ascii="Arial" w:cs="Arial" w:eastAsia="Arial" w:hAnsi="Arial"/>
          <w:sz w:val="20"/>
          <w:szCs w:val="20"/>
          <w:color w:val="auto"/>
        </w:rPr>
      </w:pPr>
    </w:p>
    <w:p>
      <w:pPr>
        <w:ind w:left="980" w:right="100" w:hanging="490"/>
        <w:spacing w:after="0" w:line="276" w:lineRule="auto"/>
        <w:tabs>
          <w:tab w:leader="none" w:pos="9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protecting, expanding and enforcing our portfolio of intellectual property rights, including patents, trade secrets and know-how; and</w:t>
      </w:r>
    </w:p>
    <w:p>
      <w:pPr>
        <w:sectPr>
          <w:pgSz w:w="12240" w:h="15840" w:orient="portrait"/>
          <w:cols w:equalWidth="0" w:num="1">
            <w:col w:w="10020"/>
          </w:cols>
          <w:pgMar w:left="1080" w:top="1074" w:right="1140" w:bottom="175" w:gutter="0" w:footer="0" w:header="0"/>
        </w:sectPr>
      </w:pP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20"/>
          </w:cols>
          <w:pgMar w:left="1080" w:top="1074" w:right="1140" w:bottom="175" w:gutter="0" w:footer="0" w:header="0"/>
          <w:type w:val="continuous"/>
        </w:sectPr>
      </w:pPr>
    </w:p>
    <w:bookmarkStart w:id="68" w:name="page69"/>
    <w:bookmarkEnd w:id="68"/>
    <w:p>
      <w:pPr>
        <w:ind w:left="980" w:hanging="490"/>
        <w:spacing w:after="0"/>
        <w:tabs>
          <w:tab w:leader="none" w:pos="9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attracting, hiring and retaining qualified personnel.</w:t>
      </w:r>
    </w:p>
    <w:p>
      <w:pPr>
        <w:spacing w:after="0" w:line="11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72" w:lineRule="exact"/>
        <w:rPr>
          <w:sz w:val="20"/>
          <w:szCs w:val="20"/>
          <w:color w:val="auto"/>
        </w:rPr>
      </w:pPr>
    </w:p>
    <w:p>
      <w:pPr>
        <w:ind w:right="60" w:firstLine="490"/>
        <w:spacing w:after="0" w:line="235" w:lineRule="auto"/>
        <w:rPr>
          <w:sz w:val="20"/>
          <w:szCs w:val="20"/>
          <w:color w:val="auto"/>
        </w:rPr>
      </w:pPr>
      <w:r>
        <w:rPr>
          <w:rFonts w:ascii="Times New Roman" w:cs="Times New Roman" w:eastAsia="Times New Roman" w:hAnsi="Times New Roman"/>
          <w:sz w:val="20"/>
          <w:szCs w:val="20"/>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condition raises substantial doubt about our ability to continue as a going concern.</w:t>
      </w:r>
    </w:p>
    <w:p>
      <w:pPr>
        <w:spacing w:after="0" w:line="111" w:lineRule="exact"/>
        <w:rPr>
          <w:sz w:val="20"/>
          <w:szCs w:val="20"/>
          <w:color w:val="auto"/>
        </w:rPr>
      </w:pPr>
    </w:p>
    <w:p>
      <w:pPr>
        <w:ind w:right="240" w:firstLine="490"/>
        <w:spacing w:after="0" w:line="243" w:lineRule="auto"/>
        <w:rPr>
          <w:sz w:val="20"/>
          <w:szCs w:val="20"/>
          <w:color w:val="auto"/>
        </w:rPr>
      </w:pPr>
      <w:r>
        <w:rPr>
          <w:rFonts w:ascii="Times New Roman" w:cs="Times New Roman" w:eastAsia="Times New Roman" w:hAnsi="Times New Roman"/>
          <w:sz w:val="20"/>
          <w:szCs w:val="20"/>
          <w:color w:val="auto"/>
        </w:rPr>
        <w:t>As of December 31, 2025, we had cash and cash equivalents of $209.9 million. We have incurred net losses and negative cash flows from operations since inception. We expect to continue to incur operating losses and negative operating cash flows for the foreseeable future and as a result, there is substantial doubt regarding our ability to continue as a going concern.</w:t>
      </w:r>
    </w:p>
    <w:p>
      <w:pPr>
        <w:spacing w:after="0" w:line="72" w:lineRule="exact"/>
        <w:rPr>
          <w:sz w:val="20"/>
          <w:szCs w:val="20"/>
          <w:color w:val="auto"/>
        </w:rPr>
      </w:pPr>
    </w:p>
    <w:p>
      <w:pPr>
        <w:ind w:right="20" w:firstLine="490"/>
        <w:spacing w:after="0" w:line="235" w:lineRule="auto"/>
        <w:rPr>
          <w:sz w:val="20"/>
          <w:szCs w:val="20"/>
          <w:color w:val="auto"/>
        </w:rPr>
      </w:pPr>
      <w:r>
        <w:rPr>
          <w:rFonts w:ascii="Times New Roman" w:cs="Times New Roman" w:eastAsia="Times New Roman" w:hAnsi="Times New Roman"/>
          <w:sz w:val="20"/>
          <w:szCs w:val="20"/>
          <w:color w:val="auto"/>
        </w:rPr>
        <w:t>We have historically funded our operations primarily through the issuance of common stock and the sale of future royalties. Our ability to achieve and sustain profitability will depend on the successful development, approval and commercialization of our product candidates and on the achievement of sufficient revenue to support our cost structure and, unless and until we do, we will need to raise additional capital to maintain current operations and to continue research and development activities. We continue to monitor and reduce certain expenditures and plan to raise additional capital through approaches that include equity or debt financings, collaborations or a combination of similar transactions. While we have been able to raise multiple rounds of financing, there can be no assurance that such financing will be available on terms which are favorable or at all. We could be required to pause, scale back or discontinue one or more of our development programs, which could adversely affect our business, financial condition and results of operations.</w:t>
      </w:r>
    </w:p>
    <w:p>
      <w:pPr>
        <w:spacing w:after="0" w:line="201"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From time to time, we may prioritize development of certain product candidates or otherwise allocate resources based on assumptions, estimations, calculations and conclusions that we make on the basis of preliminary or interim data which we may not have had the opportunity to fully and carefully evaluate, or which may ultimately differ from final or other future results of the same studies. If we make incorrect determinations regarding the viability or market potential of any of our product candidates, unfavorably allocate resources,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w:t>
      </w:r>
    </w:p>
    <w:p>
      <w:pPr>
        <w:sectPr>
          <w:pgSz w:w="12240" w:h="15840" w:orient="portrait"/>
          <w:cols w:equalWidth="0" w:num="1">
            <w:col w:w="10160"/>
          </w:cols>
          <w:pgMar w:left="1080" w:top="1074" w:right="1000" w:bottom="175"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160"/>
          </w:cols>
          <w:pgMar w:left="1080" w:top="1074" w:right="1000" w:bottom="175" w:gutter="0" w:footer="0" w:header="0"/>
          <w:type w:val="continuous"/>
        </w:sectPr>
      </w:pPr>
    </w:p>
    <w:bookmarkStart w:id="69" w:name="page70"/>
    <w:bookmarkEnd w:id="69"/>
    <w:p>
      <w:pPr>
        <w:ind w:right="120"/>
        <w:spacing w:after="0" w:line="249" w:lineRule="auto"/>
        <w:rPr>
          <w:sz w:val="20"/>
          <w:szCs w:val="20"/>
          <w:color w:val="auto"/>
        </w:rPr>
      </w:pPr>
      <w:r>
        <w:rPr>
          <w:rFonts w:ascii="Times New Roman" w:cs="Times New Roman" w:eastAsia="Times New Roman" w:hAnsi="Times New Roman"/>
          <w:sz w:val="20"/>
          <w:szCs w:val="20"/>
          <w:color w:val="auto"/>
        </w:rPr>
        <w:t>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7" w:lineRule="exact"/>
        <w:rPr>
          <w:sz w:val="20"/>
          <w:szCs w:val="20"/>
          <w:color w:val="auto"/>
        </w:rPr>
      </w:pPr>
    </w:p>
    <w:p>
      <w:pPr>
        <w:ind w:right="15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we fail to obtain additional financing, we may be unable to complete the development and, if approved, commercialization of our product candidates.</w:t>
      </w:r>
    </w:p>
    <w:p>
      <w:pPr>
        <w:spacing w:after="0" w:line="48" w:lineRule="exact"/>
        <w:rPr>
          <w:sz w:val="20"/>
          <w:szCs w:val="20"/>
          <w:color w:val="auto"/>
        </w:rPr>
      </w:pPr>
    </w:p>
    <w:p>
      <w:pPr>
        <w:ind w:right="160" w:firstLine="490"/>
        <w:spacing w:after="0" w:line="239" w:lineRule="auto"/>
        <w:rPr>
          <w:sz w:val="20"/>
          <w:szCs w:val="20"/>
          <w:color w:val="auto"/>
        </w:rPr>
      </w:pPr>
      <w:r>
        <w:rPr>
          <w:rFonts w:ascii="Times New Roman" w:cs="Times New Roman" w:eastAsia="Times New Roman" w:hAnsi="Times New Roman"/>
          <w:sz w:val="20"/>
          <w:szCs w:val="20"/>
          <w:color w:val="auto"/>
        </w:rPr>
        <w:t>Our operations have required substantial amounts of cash since inception. To date, we have funded our operations primarily through the issuance of common stock and the sale of future royalties.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spacing w:after="0" w:line="79" w:lineRule="exact"/>
        <w:rPr>
          <w:sz w:val="20"/>
          <w:szCs w:val="20"/>
          <w:color w:val="auto"/>
        </w:rPr>
      </w:pPr>
    </w:p>
    <w:p>
      <w:pPr>
        <w:ind w:right="140" w:firstLine="490"/>
        <w:spacing w:after="0" w:line="239" w:lineRule="auto"/>
        <w:rPr>
          <w:sz w:val="20"/>
          <w:szCs w:val="20"/>
          <w:color w:val="auto"/>
        </w:rPr>
      </w:pPr>
      <w:r>
        <w:rPr>
          <w:rFonts w:ascii="Times New Roman" w:cs="Times New Roman" w:eastAsia="Times New Roman" w:hAnsi="Times New Roman"/>
          <w:sz w:val="20"/>
          <w:szCs w:val="20"/>
          <w:color w:val="auto"/>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77" w:lineRule="exact"/>
        <w:rPr>
          <w:sz w:val="20"/>
          <w:szCs w:val="20"/>
          <w:color w:val="auto"/>
        </w:rPr>
      </w:pPr>
    </w:p>
    <w:p>
      <w:pPr>
        <w:ind w:right="40" w:firstLine="490"/>
        <w:spacing w:after="0" w:line="233" w:lineRule="auto"/>
        <w:rPr>
          <w:sz w:val="20"/>
          <w:szCs w:val="20"/>
          <w:color w:val="auto"/>
        </w:rPr>
      </w:pPr>
      <w:r>
        <w:rPr>
          <w:rFonts w:ascii="Times New Roman" w:cs="Times New Roman" w:eastAsia="Times New Roman" w:hAnsi="Times New Roman"/>
          <w:sz w:val="20"/>
          <w:szCs w:val="20"/>
          <w:color w:val="auto"/>
        </w:rPr>
        <w:t>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20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55"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83" w:lineRule="exact"/>
        <w:rPr>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assumption of indebtedness or contingent liabilities;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our equity securities which would result in dilution to our stockholders;</w:t>
      </w:r>
    </w:p>
    <w:p>
      <w:pPr>
        <w:spacing w:after="0" w:line="133" w:lineRule="exact"/>
        <w:rPr>
          <w:rFonts w:ascii="Arial" w:cs="Arial" w:eastAsia="Arial" w:hAnsi="Arial"/>
          <w:sz w:val="20"/>
          <w:szCs w:val="20"/>
          <w:color w:val="auto"/>
        </w:rPr>
      </w:pPr>
    </w:p>
    <w:p>
      <w:pPr>
        <w:ind w:left="980" w:right="680" w:hanging="490"/>
        <w:spacing w:after="0" w:line="276"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assimilation of operations, intellectual property, products and product candidates of an acquired company, including difficulties associated with integrating new personnel;</w:t>
      </w:r>
    </w:p>
    <w:p>
      <w:pPr>
        <w:spacing w:after="0" w:line="64" w:lineRule="exact"/>
        <w:rPr>
          <w:rFonts w:ascii="Arial" w:cs="Arial" w:eastAsia="Arial" w:hAnsi="Arial"/>
          <w:sz w:val="20"/>
          <w:szCs w:val="20"/>
          <w:color w:val="auto"/>
        </w:rPr>
      </w:pPr>
    </w:p>
    <w:p>
      <w:pPr>
        <w:ind w:left="980" w:right="100" w:hanging="490"/>
        <w:spacing w:after="0" w:line="276"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diversion of our management’s attention from our existing product candidates and initiatives in pursuing such an acquisition or strategic partnership;</w:t>
      </w:r>
    </w:p>
    <w:p>
      <w:pPr>
        <w:spacing w:after="0" w:line="64" w:lineRule="exact"/>
        <w:rPr>
          <w:rFonts w:ascii="Arial" w:cs="Arial" w:eastAsia="Arial" w:hAnsi="Arial"/>
          <w:sz w:val="20"/>
          <w:szCs w:val="20"/>
          <w:color w:val="auto"/>
        </w:rPr>
      </w:pPr>
    </w:p>
    <w:p>
      <w:pPr>
        <w:ind w:left="980" w:right="360" w:hanging="490"/>
        <w:spacing w:after="0" w:line="276"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retention of key employees, the loss of key personnel, and uncertainties in our ability to maintain key business relationships;</w:t>
      </w:r>
    </w:p>
    <w:p>
      <w:pPr>
        <w:spacing w:after="0" w:line="64" w:lineRule="exact"/>
        <w:rPr>
          <w:rFonts w:ascii="Arial" w:cs="Arial" w:eastAsia="Arial" w:hAnsi="Arial"/>
          <w:sz w:val="20"/>
          <w:szCs w:val="20"/>
          <w:color w:val="auto"/>
        </w:rPr>
      </w:pPr>
    </w:p>
    <w:p>
      <w:pPr>
        <w:ind w:left="980" w:right="220" w:hanging="490"/>
        <w:spacing w:after="0" w:line="276"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products or product candidates and regulatory approvals; and</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generate revenue from acquired intellectual property, technology and/or products sufficient to meet our objectives or even to offset the associated transaction and maintenance costs.</w:t>
      </w:r>
    </w:p>
    <w:p>
      <w:pPr>
        <w:sectPr>
          <w:pgSz w:w="12240" w:h="15840" w:orient="portrait"/>
          <w:cols w:equalWidth="0" w:num="1">
            <w:col w:w="10160"/>
          </w:cols>
          <w:pgMar w:left="1080" w:top="1052"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160"/>
          </w:cols>
          <w:pgMar w:left="1080" w:top="1052" w:right="1000" w:bottom="175" w:gutter="0" w:footer="0" w:header="0"/>
          <w:type w:val="continuous"/>
        </w:sectPr>
      </w:pPr>
    </w:p>
    <w:bookmarkStart w:id="70" w:name="page71"/>
    <w:bookmarkEnd w:id="70"/>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In addition, if we undertake such a transaction, we may incur large one-time expenses and acquire intangible assets that could result in significant future amortization expense.</w:t>
      </w:r>
    </w:p>
    <w:p>
      <w:pPr>
        <w:spacing w:after="0" w:line="16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Unfavorable U.S. and global economic conditions could adversely affect our business, financial condition or results of operations.</w:t>
      </w:r>
    </w:p>
    <w:p>
      <w:pPr>
        <w:spacing w:after="0" w:line="48" w:lineRule="exact"/>
        <w:rPr>
          <w:sz w:val="20"/>
          <w:szCs w:val="20"/>
          <w:color w:val="auto"/>
        </w:rPr>
      </w:pPr>
    </w:p>
    <w:p>
      <w:pPr>
        <w:ind w:right="100" w:firstLine="490"/>
        <w:spacing w:after="0" w:line="236"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tariffs,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spacing w:after="0" w:line="70" w:lineRule="exact"/>
        <w:rPr>
          <w:sz w:val="20"/>
          <w:szCs w:val="20"/>
          <w:color w:val="auto"/>
        </w:rPr>
      </w:pPr>
    </w:p>
    <w:p>
      <w:pPr>
        <w:ind w:right="60" w:firstLine="490"/>
        <w:spacing w:after="0" w:line="226" w:lineRule="auto"/>
        <w:rPr>
          <w:sz w:val="20"/>
          <w:szCs w:val="20"/>
          <w:color w:val="auto"/>
        </w:rPr>
      </w:pPr>
      <w:r>
        <w:rPr>
          <w:rFonts w:ascii="Times New Roman" w:cs="Times New Roman" w:eastAsia="Times New Roman" w:hAnsi="Times New Roman"/>
          <w:sz w:val="20"/>
          <w:szCs w:val="20"/>
          <w:color w:val="auto"/>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70"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spacing w:after="0" w:line="67" w:lineRule="exact"/>
        <w:rPr>
          <w:sz w:val="20"/>
          <w:szCs w:val="20"/>
          <w:color w:val="auto"/>
        </w:rPr>
      </w:pPr>
    </w:p>
    <w:p>
      <w:pPr>
        <w:ind w:right="120" w:firstLine="490"/>
        <w:spacing w:after="0" w:line="235" w:lineRule="auto"/>
        <w:rPr>
          <w:sz w:val="20"/>
          <w:szCs w:val="20"/>
          <w:color w:val="auto"/>
        </w:rPr>
      </w:pPr>
      <w:r>
        <w:rPr>
          <w:rFonts w:ascii="Times New Roman" w:cs="Times New Roman" w:eastAsia="Times New Roman" w:hAnsi="Times New Roman"/>
          <w:sz w:val="20"/>
          <w:szCs w:val="20"/>
          <w:color w:val="auto"/>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66" w:lineRule="exact"/>
        <w:rPr>
          <w:sz w:val="20"/>
          <w:szCs w:val="20"/>
          <w:color w:val="auto"/>
        </w:rPr>
      </w:pPr>
    </w:p>
    <w:p>
      <w:pPr>
        <w:ind w:right="140" w:firstLine="490"/>
        <w:spacing w:after="0" w:line="239" w:lineRule="auto"/>
        <w:rPr>
          <w:sz w:val="20"/>
          <w:szCs w:val="20"/>
          <w:color w:val="auto"/>
        </w:rPr>
      </w:pPr>
      <w:r>
        <w:rPr>
          <w:rFonts w:ascii="Times New Roman" w:cs="Times New Roman" w:eastAsia="Times New Roman" w:hAnsi="Times New Roman"/>
          <w:sz w:val="20"/>
          <w:szCs w:val="20"/>
          <w:color w:val="auto"/>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103" w:lineRule="exact"/>
        <w:rPr>
          <w:sz w:val="20"/>
          <w:szCs w:val="20"/>
          <w:color w:val="auto"/>
        </w:rPr>
      </w:pPr>
    </w:p>
    <w:p>
      <w:pPr>
        <w:ind w:firstLine="490"/>
        <w:spacing w:after="0" w:line="226" w:lineRule="auto"/>
        <w:rPr>
          <w:sz w:val="20"/>
          <w:szCs w:val="20"/>
          <w:color w:val="auto"/>
        </w:rPr>
      </w:pPr>
      <w:r>
        <w:rPr>
          <w:rFonts w:ascii="Times New Roman" w:cs="Times New Roman" w:eastAsia="Times New Roman" w:hAnsi="Times New Roman"/>
          <w:sz w:val="20"/>
          <w:szCs w:val="20"/>
          <w:color w:val="auto"/>
        </w:rPr>
        <w:t>As of December 31, 2025, the Company had $224.3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70" w:lineRule="exact"/>
        <w:rPr>
          <w:sz w:val="20"/>
          <w:szCs w:val="20"/>
          <w:color w:val="auto"/>
        </w:rPr>
      </w:pPr>
    </w:p>
    <w:p>
      <w:pPr>
        <w:ind w:right="40" w:firstLine="490"/>
        <w:spacing w:after="0" w:line="226" w:lineRule="auto"/>
        <w:rPr>
          <w:sz w:val="20"/>
          <w:szCs w:val="20"/>
          <w:color w:val="auto"/>
        </w:rPr>
      </w:pPr>
      <w:r>
        <w:rPr>
          <w:rFonts w:ascii="Times New Roman" w:cs="Times New Roman" w:eastAsia="Times New Roman" w:hAnsi="Times New Roman"/>
          <w:sz w:val="20"/>
          <w:szCs w:val="20"/>
          <w:color w:val="auto"/>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160"/>
          </w:cols>
          <w:pgMar w:left="1080" w:top="1060" w:right="1000" w:bottom="175" w:gutter="0" w:footer="0" w:header="0"/>
          <w:type w:val="continuous"/>
        </w:sectPr>
      </w:pPr>
    </w:p>
    <w:bookmarkStart w:id="71" w:name="page72"/>
    <w:bookmarkEnd w:id="71"/>
    <w:p>
      <w:pPr>
        <w:ind w:right="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41" w:lineRule="exact"/>
        <w:rPr>
          <w:sz w:val="20"/>
          <w:szCs w:val="20"/>
          <w:color w:val="auto"/>
        </w:rPr>
      </w:pPr>
    </w:p>
    <w:p>
      <w:pPr>
        <w:ind w:firstLine="490"/>
        <w:spacing w:after="0" w:line="225" w:lineRule="auto"/>
        <w:rPr>
          <w:sz w:val="20"/>
          <w:szCs w:val="20"/>
          <w:color w:val="auto"/>
        </w:rPr>
      </w:pPr>
      <w:r>
        <w:rPr>
          <w:rFonts w:ascii="Times New Roman" w:cs="Times New Roman" w:eastAsia="Times New Roman" w:hAnsi="Times New Roman"/>
          <w:sz w:val="20"/>
          <w:szCs w:val="20"/>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rate risk may impact our financial position and results.</w:t>
      </w:r>
    </w:p>
    <w:p>
      <w:pPr>
        <w:spacing w:after="0" w:line="103"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auto"/>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p>
    <w:p>
      <w:pPr>
        <w:spacing w:after="0" w:line="19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64" w:lineRule="exact"/>
        <w:rPr>
          <w:sz w:val="20"/>
          <w:szCs w:val="20"/>
          <w:color w:val="auto"/>
        </w:rPr>
      </w:pPr>
    </w:p>
    <w:p>
      <w:pPr>
        <w:ind w:right="120" w:firstLine="490"/>
        <w:spacing w:after="0" w:line="239" w:lineRule="auto"/>
        <w:rPr>
          <w:sz w:val="20"/>
          <w:szCs w:val="20"/>
          <w:color w:val="auto"/>
        </w:rPr>
      </w:pPr>
      <w:r>
        <w:rPr>
          <w:rFonts w:ascii="Times New Roman" w:cs="Times New Roman" w:eastAsia="Times New Roman" w:hAnsi="Times New Roman"/>
          <w:sz w:val="20"/>
          <w:szCs w:val="20"/>
          <w:color w:val="auto"/>
        </w:rPr>
        <w:t>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w:t>
      </w:r>
    </w:p>
    <w:p>
      <w:pPr>
        <w:spacing w:after="0" w:line="68" w:lineRule="exact"/>
        <w:rPr>
          <w:sz w:val="20"/>
          <w:szCs w:val="20"/>
          <w:color w:val="auto"/>
        </w:rPr>
      </w:pPr>
    </w:p>
    <w:p>
      <w:pPr>
        <w:ind w:right="60" w:firstLine="490"/>
        <w:spacing w:after="0" w:line="232" w:lineRule="auto"/>
        <w:rPr>
          <w:sz w:val="20"/>
          <w:szCs w:val="20"/>
          <w:color w:val="auto"/>
        </w:rPr>
      </w:pPr>
      <w:r>
        <w:rPr>
          <w:rFonts w:ascii="Times New Roman" w:cs="Times New Roman" w:eastAsia="Times New Roman" w:hAnsi="Times New Roman"/>
          <w:sz w:val="20"/>
          <w:szCs w:val="20"/>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p>
    <w:p>
      <w:pPr>
        <w:spacing w:after="0" w:line="66" w:lineRule="exact"/>
        <w:rPr>
          <w:sz w:val="20"/>
          <w:szCs w:val="20"/>
          <w:color w:val="auto"/>
        </w:rPr>
      </w:pPr>
    </w:p>
    <w:p>
      <w:pPr>
        <w:ind w:right="40" w:firstLine="490"/>
        <w:spacing w:after="0" w:line="228"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11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may be volatile, which could result in substantial losses for investors purchasing shares.</w:t>
      </w:r>
    </w:p>
    <w:p>
      <w:pPr>
        <w:spacing w:after="0" w:line="55"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The market price of our common stock may be volatile. For example, the closing price of our common stock from December 31, 2024 to March 29, 2026, ranged from a low of $2.06 to a high of $39.76 per share. As a result, shareholders may not be able to sell their common stock at or above the price that they paid for such shares. Some of the factors that may cause the market price of our common stock to fluctuate include:</w:t>
      </w:r>
    </w:p>
    <w:p>
      <w:pPr>
        <w:spacing w:after="0" w:line="88" w:lineRule="exact"/>
        <w:rPr>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existing or new competitive products or technologies;</w:t>
      </w:r>
    </w:p>
    <w:p>
      <w:pPr>
        <w:spacing w:after="0" w:line="133" w:lineRule="exact"/>
        <w:rPr>
          <w:rFonts w:ascii="Arial" w:cs="Arial" w:eastAsia="Arial" w:hAnsi="Arial"/>
          <w:sz w:val="20"/>
          <w:szCs w:val="20"/>
          <w:color w:val="auto"/>
        </w:rPr>
      </w:pPr>
    </w:p>
    <w:p>
      <w:pPr>
        <w:ind w:left="980" w:right="260" w:hanging="490"/>
        <w:spacing w:after="0" w:line="276" w:lineRule="auto"/>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results of clinical trials for our current product candidates and any future product candidates that we may develop;</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commencement or termination of collaborations for our product candidates;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failure or discontinuation of any of our product candidates;</w:t>
      </w:r>
    </w:p>
    <w:p>
      <w:pPr>
        <w:sectPr>
          <w:pgSz w:w="12240" w:h="15840" w:orient="portrait"/>
          <w:cols w:equalWidth="0" w:num="1">
            <w:col w:w="10160"/>
          </w:cols>
          <w:pgMar w:left="1080" w:top="1052" w:right="1000" w:bottom="17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160"/>
          </w:cols>
          <w:pgMar w:left="1080" w:top="1052" w:right="1000" w:bottom="175" w:gutter="0" w:footer="0" w:header="0"/>
          <w:type w:val="continuous"/>
        </w:sectPr>
      </w:pPr>
    </w:p>
    <w:bookmarkStart w:id="72" w:name="page73"/>
    <w:bookmarkEnd w:id="72"/>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develop our ABC Platform;</w:t>
      </w:r>
    </w:p>
    <w:p>
      <w:pPr>
        <w:spacing w:after="0" w:line="133" w:lineRule="exact"/>
        <w:rPr>
          <w:rFonts w:ascii="Arial" w:cs="Arial" w:eastAsia="Arial" w:hAnsi="Arial"/>
          <w:sz w:val="20"/>
          <w:szCs w:val="20"/>
          <w:color w:val="auto"/>
        </w:rPr>
      </w:pPr>
    </w:p>
    <w:p>
      <w:pPr>
        <w:ind w:left="980" w:right="300" w:hanging="490"/>
        <w:spacing w:after="0" w:line="276" w:lineRule="auto"/>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preclinical studies, clinical trials or regulatory approvals of product candidates of our competitors, or announcements about new research programs or product candidates of our competitors;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commencement of litigation;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expenses related to any of our research programs, product candidates that we may develop;</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efforts to develop additional product candidates or products;</w:t>
      </w:r>
    </w:p>
    <w:p>
      <w:pPr>
        <w:spacing w:after="0" w:line="133" w:lineRule="exact"/>
        <w:rPr>
          <w:rFonts w:ascii="Arial" w:cs="Arial" w:eastAsia="Arial" w:hAnsi="Arial"/>
          <w:sz w:val="20"/>
          <w:szCs w:val="20"/>
          <w:color w:val="auto"/>
        </w:rPr>
      </w:pPr>
    </w:p>
    <w:p>
      <w:pPr>
        <w:ind w:left="980" w:right="240" w:hanging="490"/>
        <w:spacing w:after="0" w:line="276" w:lineRule="auto"/>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or recommendations by securities analysts;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 or expectation of additional financing efforts;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common stock by us, our insiders, or other stockholders;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estimates or recommendations by securities analysts, if any, that cover our stock;</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133" w:lineRule="exact"/>
        <w:rPr>
          <w:rFonts w:ascii="Arial" w:cs="Arial" w:eastAsia="Arial" w:hAnsi="Arial"/>
          <w:sz w:val="20"/>
          <w:szCs w:val="20"/>
          <w:color w:val="auto"/>
        </w:rPr>
      </w:pPr>
    </w:p>
    <w:p>
      <w:pPr>
        <w:ind w:left="980" w:right="560" w:hanging="490"/>
        <w:spacing w:after="0" w:line="276" w:lineRule="auto"/>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industry, and market conditions, including the current inflationary environment, lowered consumer confidence, bank failures, major geopolitical conflicts;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factors described in this “Risk Factors” section.</w:t>
      </w:r>
    </w:p>
    <w:p>
      <w:pPr>
        <w:spacing w:after="0" w:line="104" w:lineRule="exact"/>
        <w:rPr>
          <w:sz w:val="20"/>
          <w:szCs w:val="20"/>
          <w:color w:val="auto"/>
        </w:rPr>
      </w:pPr>
    </w:p>
    <w:p>
      <w:pPr>
        <w:ind w:right="60" w:firstLine="490"/>
        <w:spacing w:after="0" w:line="225" w:lineRule="auto"/>
        <w:rPr>
          <w:sz w:val="20"/>
          <w:szCs w:val="20"/>
          <w:color w:val="auto"/>
        </w:rPr>
      </w:pPr>
      <w:r>
        <w:rPr>
          <w:rFonts w:ascii="Times New Roman" w:cs="Times New Roman" w:eastAsia="Times New Roman" w:hAnsi="Times New Roman"/>
          <w:sz w:val="20"/>
          <w:szCs w:val="20"/>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heightened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0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in the public market could cause our share price to decline, even if our business is doing well.</w:t>
      </w:r>
    </w:p>
    <w:p>
      <w:pPr>
        <w:spacing w:after="0" w:line="34" w:lineRule="exact"/>
        <w:rPr>
          <w:sz w:val="20"/>
          <w:szCs w:val="20"/>
          <w:color w:val="auto"/>
        </w:rPr>
      </w:pPr>
    </w:p>
    <w:p>
      <w:pPr>
        <w:ind w:firstLine="490"/>
        <w:spacing w:after="0" w:line="225"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ectPr>
          <w:pgSz w:w="12240" w:h="15840" w:orient="portrait"/>
          <w:cols w:equalWidth="0" w:num="1">
            <w:col w:w="10140"/>
          </w:cols>
          <w:pgMar w:left="1080" w:top="1074"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140"/>
          </w:cols>
          <w:pgMar w:left="1080" w:top="1074" w:right="1020" w:bottom="175" w:gutter="0" w:footer="0" w:header="0"/>
          <w:type w:val="continuous"/>
        </w:sectPr>
      </w:pPr>
    </w:p>
    <w:bookmarkStart w:id="73" w:name="page74"/>
    <w:bookmarkEnd w:id="73"/>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evaluations of our stock, the price of our stock could decline.</w:t>
      </w:r>
    </w:p>
    <w:p>
      <w:pPr>
        <w:spacing w:after="0" w:line="34" w:lineRule="exact"/>
        <w:rPr>
          <w:sz w:val="20"/>
          <w:szCs w:val="20"/>
          <w:color w:val="auto"/>
        </w:rPr>
      </w:pPr>
    </w:p>
    <w:p>
      <w:pPr>
        <w:ind w:right="80" w:firstLine="490"/>
        <w:spacing w:after="0" w:line="235" w:lineRule="auto"/>
        <w:rPr>
          <w:sz w:val="20"/>
          <w:szCs w:val="20"/>
          <w:color w:val="auto"/>
        </w:rPr>
      </w:pPr>
      <w:r>
        <w:rPr>
          <w:rFonts w:ascii="Times New Roman" w:cs="Times New Roman" w:eastAsia="Times New Roman" w:hAnsi="Times New Roman"/>
          <w:sz w:val="20"/>
          <w:szCs w:val="20"/>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1"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 to our technologies or product candidates.</w:t>
      </w:r>
    </w:p>
    <w:p>
      <w:pPr>
        <w:spacing w:after="0" w:line="34" w:lineRule="exact"/>
        <w:rPr>
          <w:sz w:val="20"/>
          <w:szCs w:val="20"/>
          <w:color w:val="auto"/>
        </w:rPr>
      </w:pPr>
    </w:p>
    <w:p>
      <w:pPr>
        <w:ind w:right="20" w:firstLine="490"/>
        <w:spacing w:after="0" w:line="225" w:lineRule="auto"/>
        <w:rPr>
          <w:sz w:val="20"/>
          <w:szCs w:val="20"/>
          <w:color w:val="auto"/>
        </w:rPr>
      </w:pPr>
      <w:r>
        <w:rPr>
          <w:rFonts w:ascii="Times New Roman" w:cs="Times New Roman" w:eastAsia="Times New Roman" w:hAnsi="Times New Roman"/>
          <w:sz w:val="20"/>
          <w:szCs w:val="20"/>
          <w:color w:val="auto"/>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49" w:lineRule="exact"/>
        <w:rPr>
          <w:sz w:val="20"/>
          <w:szCs w:val="20"/>
          <w:color w:val="auto"/>
        </w:rPr>
      </w:pPr>
    </w:p>
    <w:p>
      <w:pPr>
        <w:ind w:right="20" w:firstLine="490"/>
        <w:spacing w:after="0" w:line="232" w:lineRule="auto"/>
        <w:rPr>
          <w:sz w:val="20"/>
          <w:szCs w:val="20"/>
          <w:color w:val="auto"/>
        </w:rPr>
      </w:pPr>
      <w:r>
        <w:rPr>
          <w:rFonts w:ascii="Times New Roman" w:cs="Times New Roman" w:eastAsia="Times New Roman" w:hAnsi="Times New Roman"/>
          <w:sz w:val="20"/>
          <w:szCs w:val="20"/>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0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49"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91" w:lineRule="exact"/>
        <w:rPr>
          <w:sz w:val="20"/>
          <w:szCs w:val="20"/>
          <w:color w:val="auto"/>
        </w:rPr>
      </w:pPr>
    </w:p>
    <w:p>
      <w:pPr>
        <w:ind w:left="980" w:right="180" w:hanging="490"/>
        <w:spacing w:after="0" w:line="276"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provide that vacancies on our board of directors may be filled only by a majority of directors then in office, even though less than a quorum;</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eliminate cumulative voting in the election of directors;</w:t>
      </w:r>
    </w:p>
    <w:p>
      <w:pPr>
        <w:spacing w:after="0" w:line="133" w:lineRule="exact"/>
        <w:rPr>
          <w:rFonts w:ascii="Arial" w:cs="Arial" w:eastAsia="Arial" w:hAnsi="Arial"/>
          <w:sz w:val="20"/>
          <w:szCs w:val="20"/>
          <w:color w:val="auto"/>
        </w:rPr>
      </w:pPr>
    </w:p>
    <w:p>
      <w:pPr>
        <w:ind w:left="980" w:right="80" w:hanging="490"/>
        <w:spacing w:after="0" w:line="276"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issue shares of preferred stock and determine the price and other terms of those shares, including preferences and voting rights, without stockholder approval;</w:t>
      </w:r>
    </w:p>
    <w:p>
      <w:pPr>
        <w:spacing w:after="0" w:line="64" w:lineRule="exact"/>
        <w:rPr>
          <w:rFonts w:ascii="Arial" w:cs="Arial" w:eastAsia="Arial" w:hAnsi="Arial"/>
          <w:sz w:val="20"/>
          <w:szCs w:val="20"/>
          <w:color w:val="auto"/>
        </w:rPr>
      </w:pPr>
    </w:p>
    <w:p>
      <w:pPr>
        <w:ind w:left="980" w:right="700" w:hanging="490"/>
        <w:spacing w:after="0" w:line="276"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provide our board of directors with the exclusive right to elect a director to fill a vacancy or newly created directorship;</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permit stockholders to only take actions at a duly called annual or special meeting and not by written consent;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prohibit stockholders from calling a special meeting of stockholders;</w:t>
      </w:r>
    </w:p>
    <w:p>
      <w:pPr>
        <w:spacing w:after="0" w:line="133" w:lineRule="exact"/>
        <w:rPr>
          <w:rFonts w:ascii="Arial" w:cs="Arial" w:eastAsia="Arial" w:hAnsi="Arial"/>
          <w:sz w:val="20"/>
          <w:szCs w:val="20"/>
          <w:color w:val="auto"/>
        </w:rPr>
      </w:pPr>
    </w:p>
    <w:p>
      <w:pPr>
        <w:ind w:left="980" w:right="600" w:hanging="490"/>
        <w:spacing w:after="0" w:line="276"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that stockholders give advance notice to nominate directors or submit proposals for consideration at stockholder meetings;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by a majority vote, to amend the bylaws; and</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the affirmative vote of at least 66 2/3% or more of the outstanding shares of common stock to amend many of the provisions described above.</w:t>
      </w:r>
    </w:p>
    <w:p>
      <w:pPr>
        <w:sectPr>
          <w:pgSz w:w="12240" w:h="15840" w:orient="portrait"/>
          <w:cols w:equalWidth="0" w:num="1">
            <w:col w:w="10180"/>
          </w:cols>
          <w:pgMar w:left="1080" w:top="1060" w:right="980" w:bottom="175"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180"/>
          </w:cols>
          <w:pgMar w:left="1080" w:top="1060" w:right="980" w:bottom="175" w:gutter="0" w:footer="0" w:header="0"/>
          <w:type w:val="continuous"/>
        </w:sectPr>
      </w:pPr>
    </w:p>
    <w:bookmarkStart w:id="74" w:name="page75"/>
    <w:bookmarkEnd w:id="74"/>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bylaws provide that the Court of Chancery of the State of Delaware will be the exclusive forum for:</w:t>
      </w:r>
    </w:p>
    <w:p>
      <w:pPr>
        <w:spacing w:after="0" w:line="134" w:lineRule="exact"/>
        <w:rPr>
          <w:sz w:val="20"/>
          <w:szCs w:val="20"/>
          <w:color w:val="auto"/>
        </w:rPr>
      </w:pPr>
    </w:p>
    <w:p>
      <w:pPr>
        <w:ind w:left="980" w:hanging="490"/>
        <w:spacing w:after="0"/>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of breach of fiduciary duty;</w:t>
      </w:r>
    </w:p>
    <w:p>
      <w:pPr>
        <w:spacing w:after="0" w:line="133" w:lineRule="exact"/>
        <w:rPr>
          <w:rFonts w:ascii="Arial" w:cs="Arial" w:eastAsia="Arial" w:hAnsi="Arial"/>
          <w:sz w:val="20"/>
          <w:szCs w:val="20"/>
          <w:color w:val="auto"/>
        </w:rPr>
      </w:pPr>
    </w:p>
    <w:p>
      <w:pPr>
        <w:ind w:left="980" w:right="280" w:hanging="490"/>
        <w:spacing w:after="0" w:line="276" w:lineRule="auto"/>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against us arising under the DGCL, our certificate of incorporation, or our bylaws;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against us that is governed by the internal-affairs doctrine.</w:t>
      </w:r>
    </w:p>
    <w:p>
      <w:pPr>
        <w:spacing w:after="0" w:line="119"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auto"/>
        </w:rPr>
        <w:t>Our bylaws further provide that the U.S. federal district courts will be the exclusive forum for resolving any complaint asserting a cause of action arising under the Securities Act.</w:t>
      </w:r>
    </w:p>
    <w:p>
      <w:pPr>
        <w:spacing w:after="0" w:line="4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ectPr>
          <w:pgSz w:w="12240" w:h="15840" w:orient="portrait"/>
          <w:cols w:equalWidth="0" w:num="1">
            <w:col w:w="10140"/>
          </w:cols>
          <w:pgMar w:left="1080" w:top="1060"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140"/>
          </w:cols>
          <w:pgMar w:left="1080" w:top="1060" w:right="1020" w:bottom="17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24"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hardware, software, and our high value data, including intellectual property, trade secrets, confidential and sensitive information (collectively, “Information Systems and Data”).</w:t>
      </w:r>
    </w:p>
    <w:p>
      <w:pPr>
        <w:spacing w:after="0" w:line="74" w:lineRule="exact"/>
        <w:rPr>
          <w:sz w:val="20"/>
          <w:szCs w:val="20"/>
          <w:color w:val="auto"/>
        </w:rPr>
      </w:pPr>
    </w:p>
    <w:p>
      <w:pPr>
        <w:ind w:right="160" w:firstLine="490"/>
        <w:spacing w:after="0" w:line="260" w:lineRule="auto"/>
        <w:rPr>
          <w:sz w:val="20"/>
          <w:szCs w:val="20"/>
          <w:color w:val="auto"/>
        </w:rPr>
      </w:pPr>
      <w:r>
        <w:rPr>
          <w:rFonts w:ascii="Times New Roman" w:cs="Times New Roman" w:eastAsia="Times New Roman" w:hAnsi="Times New Roman"/>
          <w:sz w:val="19"/>
          <w:szCs w:val="19"/>
          <w:color w:val="auto"/>
        </w:rPr>
        <w:t>Our management team works with our digital transformation team in an effort to identify, assess and manage the Company's cybersecurity threats and risks. Depending on the environment, we implement and maintain various technical, physical and organizational measures, processes, standards and policies designed to manage, mitigate and remediate material risk from cybersecurity threats to our Information Systems and Data. These measures include but are not limited to firewalls, endpoint detection and response, antivirus programs, email security measures, backups and recovery procedures, privileged access management, multi-factor authentication schemes, data encryption, automatic patching, and security system information event monitoring to detect and respond to any emerging threats. Our information security and privacy policy framework includes standards for incident response, vulnerability management, data protection and logical access controls.</w:t>
      </w:r>
    </w:p>
    <w:p>
      <w:pPr>
        <w:spacing w:after="0" w:line="67"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Our assessment and management of material risks from cybersecurity threats are integrated into our Company's overall risk management process, which, in part, establishes intended uses of our computerized systems and identifies critical and/or material risks. After a system reaches operation, the risk management approach continues following processes for change control, system maintenance, logical access control, discrepancy management and periodic review.</w:t>
      </w:r>
    </w:p>
    <w:p>
      <w:pPr>
        <w:spacing w:after="0" w:line="7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We use independent service providers to assist us from time to time in an effort to identify, assess, and manage material risks from cybersecurity threats. We periodically conduct vulnerability assessments and perform intrusion and penetration testing to evaluate our cybersecurity response capabilities.</w:t>
      </w:r>
    </w:p>
    <w:p>
      <w:pPr>
        <w:spacing w:after="0" w:line="68"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We maintain cybersecurity awareness training for our employees and periodically perform phishing simulations. We routinely communicate with employees about the potential for cybersecurity threats, including the latest adversary trends and social engineering techniques and how to avoid them, and the best use of our established communications channels.</w:t>
      </w:r>
    </w:p>
    <w:p>
      <w:pPr>
        <w:spacing w:after="0" w:line="68"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auto"/>
        </w:rPr>
        <w:t>We have a vendor management process designed to manage cybersecurity risks associated with our use of third parties. Depending on the nature of the services provided, the sensitivity of the Information Systems and Data at issue, and the identity of the provider, our vendor management process may involve varying methods of assessment designed to help identify cybersecurity risks associated with a provider and impose contractual obligations related to cybersecurity on the provider.</w:t>
      </w:r>
    </w:p>
    <w:p>
      <w:pPr>
        <w:spacing w:after="0" w:line="5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a description of the risks from cybersecurity threats that may materially affect the Company and how they may do so, see our risk factors under “Part I, Item 1A. — Risk Factors” in this Annual Report on Form 10-K, including the risk factor titled </w:t>
      </w:r>
      <w:r>
        <w:rPr>
          <w:rFonts w:ascii="Times New Roman" w:cs="Times New Roman" w:eastAsia="Times New Roman" w:hAnsi="Times New Roman"/>
          <w:sz w:val="20"/>
          <w:szCs w:val="20"/>
          <w:b w:val="1"/>
          <w:bCs w:val="1"/>
          <w:i w:val="1"/>
          <w:iCs w:val="1"/>
          <w:color w:val="auto"/>
        </w:rPr>
        <w:t>“If our information technology systems, or those of third parties with whom we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work, or our data, are or were compromised, we could experience adverse consequences resulting from such compromise, including but not limited to regulatory investigations or actions, significant fines or other liability, interruptions of our development programs, harm to our reputation, and other adverse consequences.”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24" w:lineRule="exact"/>
        <w:rPr>
          <w:sz w:val="20"/>
          <w:szCs w:val="20"/>
          <w:color w:val="auto"/>
        </w:rPr>
      </w:pPr>
    </w:p>
    <w:p>
      <w:pPr>
        <w:ind w:right="440" w:firstLine="490"/>
        <w:spacing w:after="0" w:line="252" w:lineRule="auto"/>
        <w:rPr>
          <w:sz w:val="20"/>
          <w:szCs w:val="20"/>
          <w:color w:val="auto"/>
        </w:rPr>
      </w:pPr>
      <w:r>
        <w:rPr>
          <w:rFonts w:ascii="Times New Roman" w:cs="Times New Roman" w:eastAsia="Times New Roman" w:hAnsi="Times New Roman"/>
          <w:sz w:val="20"/>
          <w:szCs w:val="20"/>
          <w:color w:val="auto"/>
        </w:rPr>
        <w:t>The Nominating and Corporate Governance Committee of our Board of Directors is responsible for overseeing cybersecurity risk management processes, including oversight and mitigation of risk from cybersecurity threats. The Nominating and Corporate Governance Committee receives reports, as necessary, from the Chief Financial Officer of the Company regarding cybersecurity threats or incidents.</w:t>
      </w:r>
    </w:p>
    <w:p>
      <w:pPr>
        <w:spacing w:after="0" w:line="7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our digital transformation team under the supervision of the Chief Financial Officer and Chief Executive Officer of the Company, both of whom have experience in business operations including risk management and oversight of information technology functions within the biopharmaceutical industry. Our digital transformation team includes members with relevant expertise in cybersecurity, incident response, and the safeguarding of company assets. The digital transformation team undertakes efforts to learn about the Company’s cybersecurity threats by reviewing security assessments and other security-related reports.</w:t>
      </w:r>
    </w:p>
    <w:p>
      <w:pPr>
        <w:sectPr>
          <w:pgSz w:w="12240" w:h="15840" w:orient="portrait"/>
          <w:cols w:equalWidth="0" w:num="1">
            <w:col w:w="10160"/>
          </w:cols>
          <w:pgMar w:left="1080" w:top="105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160"/>
          </w:cols>
          <w:pgMar w:left="1080" w:top="1056" w:right="1000" w:bottom="175" w:gutter="0" w:footer="0" w:header="0"/>
          <w:type w:val="continuous"/>
        </w:sectPr>
      </w:pPr>
    </w:p>
    <w:bookmarkStart w:id="76" w:name="page77"/>
    <w:bookmarkEnd w:id="76"/>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Our cybersecurity incident response and vulnerability management follow our information security and privacy policy framework. This framework is designed to escalate certain cybersecurity incidents to the Chief Financial Officer and, depending upon an incident’s particular facts, the Chief Financial Officer will report certain cybersecurity incidents to the Nominating and Corporate Governance Committee of the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Our corporate offices are located in Palo Alto, California, where we lease approximately 155,000 square feet of office, research and development, engineering and laboratory space pursuant to lease agreements that commenced in June 2020. Our corporate offices in Palo Alto, California house substantially all of our personnel. The initial lease term for 1200 Page Mill Road is 6.5 years, with an option to extend the lease term for a period of 6.5 years. The initial lease term for 1250 Page Mill Road is 13 years, with two options to extend the lease term for a period of 5 years each.</w:t>
      </w:r>
    </w:p>
    <w:p>
      <w:pPr>
        <w:spacing w:after="0" w:line="77"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auto"/>
        </w:rPr>
        <w:t>In March 2025, we entered into a sublease agreement for the corporate office space located at 1200 Page Mill Road for the remainder of the initial lease term until February 2027. We retain the option to reoccupy the space and to extend the lease term of the building located at 1200 Page Mill Road through the option period.</w:t>
      </w:r>
    </w:p>
    <w:p>
      <w:pPr>
        <w:spacing w:after="0" w:line="68"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auto"/>
        </w:rPr>
        <w:t>In April 2020, we entered into a lease agreement for office and laboratory space at Rottenstrasse 5 in Visp, Switzerland. The space is approximately 1,000 square meters. The initial lease term is 5 years, with automatic renewals every 5 years for a maximum lease term of 15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120"/>
          </w:cols>
          <w:pgMar w:left="1080" w:top="1060" w:right="10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120"/>
          </w:cols>
          <w:pgMar w:left="1080" w:top="1060" w:right="1040" w:bottom="175"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2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common stock trades on the Nasdaq Global Market under the trading symbol “KOD”.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Common Stock</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As of March 19, 2026, there were approximately 21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and do not anticipate paying cash dividends in the foreseeable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160"/>
          </w:cols>
          <w:pgMar w:left="1080" w:top="105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160"/>
          </w:cols>
          <w:pgMar w:left="1080" w:top="1056" w:right="1000" w:bottom="175" w:gutter="0" w:footer="0" w:header="0"/>
          <w:type w:val="continuous"/>
        </w:sectPr>
      </w:pPr>
    </w:p>
    <w:bookmarkStart w:id="78" w:name="page79"/>
    <w:bookmarkEnd w:id="78"/>
    <w:p>
      <w:pPr>
        <w:ind w:right="32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“Part I, Item 1A — Risk Factors” and elsewhere in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are a precommercial retina focused biotechnology company committed to researching, developing and commercializing transformative therapeutics. We are focused on bringing new science to the design and manufacture of next generation retinal medicines to prevent and treat the leading causes of blindness globally. Our Antibody Biopolymer Conjugate ("ABC") Platform uses molecular engineering to merge the fields of protein-based and chemistry-based therapies and has been at the core of Kodiak's discovery engine. We are developing a portfolio of three late-stage clinical programs, two of which are derived from our ABC platform and one which is platform-independent.</w:t>
      </w:r>
    </w:p>
    <w:p>
      <w:pPr>
        <w:spacing w:after="0" w:line="8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Kodiak's lead investigational medicine, Zenkuda (tarcocimab), is an anti-VEGF antibody biopolymer conjugate under development for the treatment of high prevalence retinal vascular diseases.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 Zenkuda has completed four successful Phase 3 pivotal studies: the Phase 3 GLOW1 and GLOW2 studies in diabetic retinopathy (DR), the Phase 3 BEACON study in retinal vein occlusion (RVO) and the Phase 3 DAYLIGHT study in wet AMD. Zenkuda is currently being studied in one Phase 3 clinical trial, DAYBREAK in patients with wet AMD. DAYBREAK has completed enrollment. We intend to file a Biologics License Application (“BLA”) in DR, retinal vein occlusion (“RVO”) and wet AMD in 2026.</w:t>
      </w:r>
    </w:p>
    <w:p>
      <w:pPr>
        <w:spacing w:after="0" w:line="8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KSI-501, our second investigational medicine, is a first-in-class anti-IL-6, VEGF-trap bispecific therapy built on our ABC platform and is being developed for high prevalence retinal vascular diseases to address the leading unmet needs of extended durability and targeting disease biology beyond VEGF for differentiated efficacy. KSI-501 is designed to provide high immediacy/efficacy and high durability. KSI-501 is currently being studied in the Phase 3 DAYBREAK study in patients with wet AMD. DAYBREAK has completed enrollment.</w:t>
      </w:r>
    </w:p>
    <w:p>
      <w:pPr>
        <w:spacing w:after="0" w:line="77" w:lineRule="exact"/>
        <w:rPr>
          <w:sz w:val="20"/>
          <w:szCs w:val="20"/>
          <w:color w:val="auto"/>
        </w:rPr>
      </w:pPr>
    </w:p>
    <w:p>
      <w:pPr>
        <w:ind w:right="60" w:firstLine="490"/>
        <w:spacing w:after="0" w:line="241" w:lineRule="auto"/>
        <w:rPr>
          <w:sz w:val="20"/>
          <w:szCs w:val="20"/>
          <w:color w:val="auto"/>
        </w:rPr>
      </w:pPr>
      <w:r>
        <w:rPr>
          <w:rFonts w:ascii="Times New Roman" w:cs="Times New Roman" w:eastAsia="Times New Roman" w:hAnsi="Times New Roman"/>
          <w:sz w:val="20"/>
          <w:szCs w:val="20"/>
          <w:color w:val="auto"/>
        </w:rPr>
        <w:t xml:space="preserve">KSI-101, our third investigational medicine, is a high strength (100 mg/mL) antibody-based therapy with a bispecific mechanism of action targeting both interleukin-6 (IL-6) and VEGF. We are developing KSI-101 for patients with macular edema (retinal fluid) secondary to inflammation (“MESI”). Data from our dose-finding Phase 1b APEX study demonstrated robust anatomical and visual responses across MESI patients. More than half of patients achieved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15-letter gains in best corrected visual acuity ("BCVA"), with additional benefit at higher dose levels. Rapid vision improvements and anatomical response was observed with 10-letter gains by Week 4 in top dose groups and OCT CST &lt;325 microns achieved as early as Week 1 in top dose groups. Continued anatomical improvement was observed over time with &gt;90% resolution of intraretinal ("IRF") and subretinal fluid ("SRF") by Week 8 and 20/25 Snellen visual acuity by Week 20. In top dose groups,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90% achieved complete absence of IRF and SRF, indicating retinal dryness and normalization of retinal architecture. KSI-101 also continued to be well tolerated with a favorable safety profile. The top two dose levels in APEX have been advanced into the Phase 3 pivotal studies, PEAK and PINNACLE. The PEAK and PINNACLE studies are actively enrolling.</w:t>
      </w:r>
    </w:p>
    <w:p>
      <w:pPr>
        <w:spacing w:after="0" w:line="83"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With regards to our pipeline programs, dual cytokine-targeting bispecific antibody programs KSI-102 (anti-TNFa/IL-6) and KSI-103 (anti-IL- 1/IL-6) continue to progress through pre-IND activities, targeting diseases of ocular inflammation. Retina duet programs in glaucoma and geographic atrophy built with ABC platform continue to progress.</w:t>
      </w:r>
    </w:p>
    <w:p>
      <w:pPr>
        <w:spacing w:after="0" w:line="68"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auto"/>
        </w:rPr>
        <w:t>Our VETi (Visual Engagement Technology and imager) program has achieved significant advancements in hardware, software and algorithms development. VETi is our AI - and machine-learning-enabled wearable headset with applications in retina care alongside broader opportunities in identity security and cognitive sciences.</w:t>
      </w:r>
    </w:p>
    <w:p>
      <w:pPr>
        <w:spacing w:after="0" w:line="6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We have a dedicated commercial-scale drug substance manufacturing facility that was custom-designed and built in collaboration with Lonza. We believe these manufacturing capabilities could position us for potential market share capture if tarcocimab and KSI-501 are approved.</w:t>
      </w:r>
    </w:p>
    <w:p>
      <w:pPr>
        <w:sectPr>
          <w:pgSz w:w="12240" w:h="15840" w:orient="portrait"/>
          <w:cols w:equalWidth="0" w:num="1">
            <w:col w:w="10120"/>
          </w:cols>
          <w:pgMar w:left="1080" w:top="1056" w:right="1040" w:bottom="175"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120"/>
          </w:cols>
          <w:pgMar w:left="1080" w:top="1056" w:right="1040" w:bottom="175"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Recent Updates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Zenkuda (tarcocimab) Clinical Program Update</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Zenkuda is an investigational anti-VEGF therapy built on Kodiak's proprietary ABC platform. Zenkuda has a mean ocular half-life in humans of 20 days, approximately three times longer than approved anti-VEGF therapies, and is designed to maintain effective drug levels in ocular tissues for longer.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w:t>
      </w:r>
    </w:p>
    <w:p>
      <w:pPr>
        <w:spacing w:after="0" w:line="8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Zenkuda has completed four successful Phase 3 pivotal studies: the Phase 3 GLOW1 and GLOW2 studies in diabetic retinopathy ("DR"), the Phase 3 BEACON study in retinal vein occlusion ("RVO") and the Phase 3 DAYLIGHT study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In the DAYLIGHT study, Zenkuda demonstrated non-inferior efficacy results and compelling safety and tolerability at a once-monthly dosing interval. Zenkuda is currently being studied in the Phase 3 DAYBREAK study in wet AMD, the final anticipated Phase 3 study in the program. In DAYBREAK, patients are treated on an every 1- month through every 6-month treatment interval, depending on an AI-driven assessment of disease activity. Topline results for the DAYBREAK one-year primary endpoint are expected in 3Q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About GLOW1 and GLOW2</w:t>
      </w:r>
    </w:p>
    <w:p>
      <w:pPr>
        <w:spacing w:after="0" w:line="118" w:lineRule="exact"/>
        <w:rPr>
          <w:sz w:val="20"/>
          <w:szCs w:val="20"/>
          <w:color w:val="auto"/>
        </w:rPr>
      </w:pPr>
    </w:p>
    <w:p>
      <w:pPr>
        <w:ind w:right="140" w:firstLine="490"/>
        <w:spacing w:after="0" w:line="241" w:lineRule="auto"/>
        <w:rPr>
          <w:sz w:val="20"/>
          <w:szCs w:val="20"/>
          <w:color w:val="auto"/>
        </w:rPr>
      </w:pPr>
      <w:r>
        <w:rPr>
          <w:rFonts w:ascii="Times New Roman" w:cs="Times New Roman" w:eastAsia="Times New Roman" w:hAnsi="Times New Roman"/>
          <w:sz w:val="20"/>
          <w:szCs w:val="20"/>
          <w:color w:val="auto"/>
        </w:rPr>
        <w:t xml:space="preserve">GLOW1 and GLOW2 were prospective, randomized, double-masked, sham-controlled, multicenter Phase 3 studies evaluating Zenkuda 5mg in participants with diabetic retinopathy. Both studies employed extended-interval dosing regimens with an ultimate treatment interval of every six months. The primary endpoint was the proportion of eyes improving by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2 steps on the Diabetic Retinopathy Severity Scale ("DRSS") from baseline to Week 48. Additional outcome measures include the proportion of eyes developing a sight-threatening complication of diabetic retinopathy and the proportion of eyes improving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3 steps on DRSS from baseline to Week 48.</w:t>
      </w:r>
    </w:p>
    <w:p>
      <w:pPr>
        <w:spacing w:after="0" w:line="8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the GLOW1 study, patients were randomized 1:1 to receive either sham injections or Zenkuda via intravitreal injection at baseline, Week 8, Week 20 and Week 44, for a planned four injections in year one. The Phase 3 GLOW1 study demonstrated that, with extended 6- month dosing in every patient, Zenkuda can achieve strong efficacy both in treating existing disease (primary endpoint) and preventing vision threatening complications and disease progression (key secondary endpoint). In GLOW1, Zenkuda met its primary endpoint of the proportion of patients with at least a 2-step improvement on the DRSS score with 41.1% of Zenkuda-treated patients demonstrating at least a 2-step improvement versus 1.4% of patients in the sham group, a 29-fold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89% decreased risk (2.3% with Zenkuda versus 21.0% with sham, p-value &lt; 0.0001).</w:t>
      </w:r>
    </w:p>
    <w:p>
      <w:pPr>
        <w:spacing w:after="0" w:line="82"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auto"/>
        </w:rPr>
        <w:t xml:space="preserve">The Phase 3 GLOW2 study was designed as a confirmatory study to the Phase 3 GLOW1 study. Patients were randomized 1:1 to receive either sham injections or Zenkuda via intravitreal injection at baseline, Week 4, Week 8, Week 20 and Week 44, for a planned five injections in year one. The Phase 3 GLOW2 study confirmed findings from GLOW1 that, with extended 6- month dosing in all Zenkuda-treated patients, Zenkuda can achieve strong efficacy both in treating existing disease (primary endpoint) and preventing vision threatening complications and disease progression (key secondary endpoint). In GLOW2, Zenkuda met its primary endpoint of the proportion of patients with at least a 2 -step improvement on the DRSS, with 62.5% of Zenkuda-treated patients demonstrating at least a 2-step improvement versus 3.3% of patients in the sham group, a 19-fold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85% decreased risk (2.4% with Zenkuda versus 15.8% with sham, p-value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0.0001). Zenkuda also demonstrated strong efficacy independent of concomitant GLP-1 receptor agonist use. In Zenkuda-treated patients, the proportion achieving a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2-step improvement in DRSS was 60.0% among those using GLP-1 medications versus 64.3% among those not using GLP-1 medications, supporting Zenkuda’s efficacy profile in a real-world diabetic population. Zenkuda was well-tolerated with low rates of common ocular adverse events. No cases of intraocular inflammation were reported in the study, and no cases of retinal vasculitis or occlusive retinal vasculitis were</w:t>
      </w:r>
    </w:p>
    <w:p>
      <w:pPr>
        <w:sectPr>
          <w:pgSz w:w="12240" w:h="15840" w:orient="portrait"/>
          <w:cols w:equalWidth="0" w:num="1">
            <w:col w:w="10140"/>
          </w:cols>
          <w:pgMar w:left="1080" w:top="1056" w:right="1020" w:bottom="175"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140"/>
          </w:cols>
          <w:pgMar w:left="1080" w:top="1056" w:right="1020" w:bottom="175" w:gutter="0" w:footer="0" w:header="0"/>
          <w:type w:val="continuous"/>
        </w:sectPr>
      </w:pPr>
    </w:p>
    <w:bookmarkStart w:id="80" w:name="page81"/>
    <w:bookmarkEnd w:id="80"/>
    <w:p>
      <w:pPr>
        <w:ind w:right="340"/>
        <w:spacing w:after="0" w:line="277" w:lineRule="auto"/>
        <w:rPr>
          <w:sz w:val="20"/>
          <w:szCs w:val="20"/>
          <w:color w:val="auto"/>
        </w:rPr>
      </w:pPr>
      <w:r>
        <w:rPr>
          <w:rFonts w:ascii="Times New Roman" w:cs="Times New Roman" w:eastAsia="Times New Roman" w:hAnsi="Times New Roman"/>
          <w:sz w:val="20"/>
          <w:szCs w:val="20"/>
          <w:color w:val="auto"/>
        </w:rPr>
        <w:t>observed. The incidence of cataract in the study eye was low (2.3% with Zenkuda versus 1.6% with sham) and in line with expected background rates in patients with DR.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About DAYBREAK (and Zenkuda)</w:t>
      </w:r>
    </w:p>
    <w:p>
      <w:pPr>
        <w:spacing w:after="0" w:line="118" w:lineRule="exact"/>
        <w:rPr>
          <w:sz w:val="20"/>
          <w:szCs w:val="20"/>
          <w:color w:val="auto"/>
        </w:rPr>
      </w:pPr>
    </w:p>
    <w:p>
      <w:pPr>
        <w:jc w:val="both"/>
        <w:ind w:right="60" w:firstLine="490"/>
        <w:spacing w:after="0" w:line="249" w:lineRule="auto"/>
        <w:rPr>
          <w:sz w:val="20"/>
          <w:szCs w:val="20"/>
          <w:color w:val="auto"/>
        </w:rPr>
      </w:pPr>
      <w:r>
        <w:rPr>
          <w:rFonts w:ascii="Times New Roman" w:cs="Times New Roman" w:eastAsia="Times New Roman" w:hAnsi="Times New Roman"/>
          <w:sz w:val="20"/>
          <w:szCs w:val="20"/>
          <w:color w:val="auto"/>
        </w:rPr>
        <w:t>The Phase 3 DAYBREAK study is a non-inferiority study evaluating parallel investigational arms of Zenkuda and KSI-501 against active comparator aflibercept. The DAYBREAK study incorporates learnings from prior pivotal trials of Zenkuda and was designed to maximize the probability of meeting the primary endpoint of non-inferiority in visual acuity gains.</w:t>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Patients randomized to Zenkuda will receive individualized dosing every 4 to 24 weeks on an as needed basis following four monthly loading doses. Patients randomized to aflibercept will be dosed per label. The individualized dosing of Zenkuda is determined by a treat-to-dryness proactive approach using the presence of retinal fluid as a disease activity marker, which resembles retina specialists' practice and optimizes each patient's treatment, instead of using a combination of central subfield thickness ("CST") and vision loss. The objectives for Zenkuda in DAYBREAK are to assess its durability potential, strengthen its competitive position in wet AMD and bolster the possible regulatory application package for the program. DAYBREAK was designed to showcase the potential for Zenkuda to be a mainstay biologic for VEGF-driven retinal vascular diseases with both a strong efficacy/immediacy (driven by its enhanced formulation) and a strong durability (driven by its ABC design and science of durability). Topline data for the one-year primary endpoint in DAYBREAK are expected in 3Q 2026.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About Zenkuda and BLA Planning</w:t>
      </w:r>
    </w:p>
    <w:p>
      <w:pPr>
        <w:spacing w:after="0" w:line="118"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Kodiak plans to submit a BLA for Zenkuda supported by the confirmatory GLOW1 and GLOW2 studies in diabetic retinopathy, the BEACON Study in retinal vein occlusion, and the DAYLIGHT Study in wet AMD and intends to work with the FDA on timing of the submission in order to include the ongoing Phase 3 DAYBREAK wet AMD study, if successful, in the BLA.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KSI-501 Clinical Program Update</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spacing w:after="0" w:line="74" w:lineRule="exact"/>
        <w:rPr>
          <w:sz w:val="20"/>
          <w:szCs w:val="20"/>
          <w:color w:val="auto"/>
        </w:rPr>
      </w:pPr>
    </w:p>
    <w:p>
      <w:pPr>
        <w:ind w:right="360" w:firstLine="490"/>
        <w:spacing w:after="0" w:line="249" w:lineRule="auto"/>
        <w:rPr>
          <w:sz w:val="20"/>
          <w:szCs w:val="20"/>
          <w:color w:val="auto"/>
        </w:rPr>
      </w:pPr>
      <w:r>
        <w:rPr>
          <w:rFonts w:ascii="Times New Roman" w:cs="Times New Roman" w:eastAsia="Times New Roman" w:hAnsi="Times New Roman"/>
          <w:sz w:val="20"/>
          <w:szCs w:val="20"/>
          <w:color w:val="auto"/>
        </w:rPr>
        <w:t>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BCVA outcomes over time in wet AMD patients treated with anti-VEGF monotherapy, which suggests that IL-6 inhibition in combination with anti-VEGF therapy could lead to improved outcomes.</w:t>
      </w:r>
    </w:p>
    <w:p>
      <w:pPr>
        <w:spacing w:after="0" w:line="77" w:lineRule="exact"/>
        <w:rPr>
          <w:sz w:val="20"/>
          <w:szCs w:val="20"/>
          <w:color w:val="auto"/>
        </w:rPr>
      </w:pPr>
    </w:p>
    <w:p>
      <w:pPr>
        <w:jc w:val="both"/>
        <w:ind w:right="420" w:firstLine="490"/>
        <w:spacing w:after="0" w:line="258" w:lineRule="auto"/>
        <w:rPr>
          <w:sz w:val="20"/>
          <w:szCs w:val="20"/>
          <w:color w:val="auto"/>
        </w:rPr>
      </w:pPr>
      <w:r>
        <w:rPr>
          <w:rFonts w:ascii="Times New Roman" w:cs="Times New Roman" w:eastAsia="Times New Roman" w:hAnsi="Times New Roman"/>
          <w:sz w:val="20"/>
          <w:szCs w:val="20"/>
          <w:color w:val="auto"/>
        </w:rPr>
        <w:t>Kodiak has advanced KSI-501 into the Phase 3 study DAYBREAK to evaluate its efficacy and safety in wet AMD. DAYBREAK has completed enrollment. DAYBREAK uses KSI-501's enhanced 50 mg/mL formulation containing both conjugated and unconjugated antibody that is intended to balance immediacy and durability.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About DAYBREAK (and KSI-501)</w:t>
      </w:r>
    </w:p>
    <w:p>
      <w:pPr>
        <w:spacing w:after="0" w:line="11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DAYBREAK study is a non-inferiority study evaluating parallel investigational arms of KSI-501 and Zenkuda against active comparator aflibercept. Patients randomized to KSI-501 will receive fixed every 8-week dosing with additional individualized dosing (up to monthly dosing) on an as needed basis after four monthly loading doses. Patients randomized to aflibercept will be dosed per label. Using the same treat-to-dryness approach as Zenkuda,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IL-6 and VEGF inhibition in a broad treatment-naïve wet AMD population. DAYBREAK has completed enrollment. Topline data for the one-year primary endpoint in DAYBREAK are expected in 3Q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KSI-101 Clinical Program Update</w:t>
      </w:r>
    </w:p>
    <w:p>
      <w:pPr>
        <w:spacing w:after="0" w:line="124"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KSI-101 is a high strength (100 mg/mL) bispecific protein targeting IL-6 and VEGF. We are developing KSI-101 for patients with MESI. MESI is a heterogenous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160"/>
          </w:cols>
          <w:pgMar w:left="1080" w:top="1060" w:right="1000" w:bottom="175" w:gutter="0" w:footer="0" w:header="0"/>
          <w:type w:val="continuous"/>
        </w:sectPr>
      </w:pPr>
    </w:p>
    <w:bookmarkStart w:id="81" w:name="page82"/>
    <w:bookmarkEnd w:id="81"/>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Currently there are no available intravitreal biologic therapies addressing the spectrum of MESI diseases. We believe that MESI represents a new market segment separate from the established anti-VEGF market.</w:t>
      </w:r>
    </w:p>
    <w:p>
      <w:pPr>
        <w:spacing w:after="0" w:line="49"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Our completed dose-finding Phase 1b study APEX evaluated KSI-101 in two cohorts, Cohort 1 in patients with DME and Cohort 2 in patients with MESI. APEX demonstrated that KSI-101 provides meaningful visual and anatomical gains in both DME and MESI and that KSI-101 is well tolerated. Meaningful treatment responses were seen in the MESI population, irrespective of the location of inflammation and specific MESI etiology, opening up the potential for KSI-101 to become a unifying treatment for this patient population.</w:t>
      </w:r>
    </w:p>
    <w:p>
      <w:pPr>
        <w:spacing w:after="0" w:line="77"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auto"/>
        </w:rPr>
        <w:t>Based on APEX, the top two dose levels tested were selected to advance into the Phase 3 program. The PEAK and PINNACLE Phase 3 studies are actively enrolling MESI subjects at the 5 mg and 10 mg dose levels versus sham.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About PEAK and PINNACLE</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Patients randomized to the KSI-101 treatment arms will receive fixed monthly dosing for 6 doses (from Day 1 to Week 20) ,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Topline data readouts for PEAK and PINNACLE are expected in 4Q 2026 and 2Q 2027,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Pipeline Programs</w:t>
      </w:r>
    </w:p>
    <w:p>
      <w:pPr>
        <w:spacing w:after="0" w:line="120" w:lineRule="exact"/>
        <w:rPr>
          <w:sz w:val="20"/>
          <w:szCs w:val="20"/>
          <w:color w:val="auto"/>
        </w:rPr>
      </w:pPr>
    </w:p>
    <w:p>
      <w:pPr>
        <w:jc w:val="both"/>
        <w:ind w:right="220" w:firstLine="490"/>
        <w:spacing w:after="0" w:line="258" w:lineRule="auto"/>
        <w:rPr>
          <w:sz w:val="20"/>
          <w:szCs w:val="20"/>
          <w:color w:val="auto"/>
        </w:rPr>
      </w:pPr>
      <w:r>
        <w:rPr>
          <w:rFonts w:ascii="Times New Roman" w:cs="Times New Roman" w:eastAsia="Times New Roman" w:hAnsi="Times New Roman"/>
          <w:sz w:val="20"/>
          <w:szCs w:val="20"/>
          <w:color w:val="auto"/>
        </w:rPr>
        <w:t>Our pipeline programs, 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w:t>
      </w:r>
    </w:p>
    <w:p>
      <w:pPr>
        <w:spacing w:after="0" w:line="68"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We are advancing our platform technology to embed small molecules and other active pharmaceutical ingredients (“API”) into our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or ABCD Platform, because we are extending our platform capabilities to include the conjugation of small molecule drugs whereas historically we primarily conjugated biologics such as antibodies.</w:t>
      </w:r>
    </w:p>
    <w:p>
      <w:pPr>
        <w:spacing w:after="0" w:line="82"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w:t>
      </w:r>
    </w:p>
    <w:p>
      <w:pPr>
        <w:spacing w:after="0" w:line="80"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auto"/>
        </w:rPr>
        <w:t>The second program is for the treatment of geographic atrophy (“GA”). There are two approved therapies, both complement inhibitors, and they require monthly or every other month intravitreal injections and neither sufficiently halts disease progression. This program at Kodiak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retina duet programs in glaucoma and GA built with our ABC platform continue to progress towards IND.</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160"/>
          </w:cols>
          <w:pgMar w:left="1080" w:top="1060" w:right="1000" w:bottom="175"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Health Platform Development</w:t>
      </w:r>
    </w:p>
    <w:p>
      <w:pPr>
        <w:spacing w:after="0" w:line="120" w:lineRule="exact"/>
        <w:rPr>
          <w:sz w:val="20"/>
          <w:szCs w:val="20"/>
          <w:color w:val="auto"/>
        </w:rPr>
      </w:pPr>
    </w:p>
    <w:p>
      <w:pPr>
        <w:ind w:right="120" w:firstLine="490"/>
        <w:spacing w:after="0" w:line="265" w:lineRule="auto"/>
        <w:rPr>
          <w:sz w:val="20"/>
          <w:szCs w:val="20"/>
          <w:color w:val="auto"/>
        </w:rPr>
      </w:pPr>
      <w:r>
        <w:rPr>
          <w:rFonts w:ascii="Times New Roman" w:cs="Times New Roman" w:eastAsia="Times New Roman" w:hAnsi="Times New Roman"/>
          <w:sz w:val="19"/>
          <w:szCs w:val="19"/>
          <w:color w:val="auto"/>
        </w:rPr>
        <w:t>We have made tremendous progress with our digital health and artificial intelligence capabilities through the VETi (Visual Engagement Technology and Imager) platform. Progress across hardware, software and machine learning is enabling the development of an AI-powered wearable headset with applications in retina care, alongside broader opportunities in identity security and cognitive science. This progress is reflective of Kodiak’s long term planning and execution towards an enhanced identity as a vision sciences company, integrating proprietary therapeutics and next-generation vision technologies.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2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Since inception in June 2009, we have devoted substantially all of our resources to discovering and developing product candidates and manufacturing processes, building our ABC Platform and assembling our core capabilities in drug development for a broad spectrum of retinal diseases. We do not have any products approved for sale and have not generated any product revenue since inception. We have funded our operations primarily through the issuance of common stock and the sale of future royalties.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Operating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fees paid to third-party vendors to conduct certain research and development activities on our behalf; and allocated overhead, including rent,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8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8"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depreciation and utilities; and other general operating expenses not otherwise classified as research and development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Interest income consists primarily of interest income earned on our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95"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auto"/>
        </w:rPr>
        <w:t>Other income (expense), net consists primarily of tax expense and, in prior year periods, the change in fair value and settlement of derivative contracts.</w:t>
      </w:r>
    </w:p>
    <w:p>
      <w:pPr>
        <w:sectPr>
          <w:pgSz w:w="12240" w:h="15840" w:orient="portrait"/>
          <w:cols w:equalWidth="0" w:num="1">
            <w:col w:w="10140"/>
          </w:cols>
          <w:pgMar w:left="1080" w:top="1060"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140"/>
          </w:cols>
          <w:pgMar w:left="1080" w:top="1060" w:right="1020" w:bottom="17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01" w:lineRule="exact"/>
        <w:rPr>
          <w:sz w:val="20"/>
          <w:szCs w:val="20"/>
          <w:color w:val="auto"/>
        </w:rPr>
      </w:pPr>
    </w:p>
    <w:p>
      <w:pPr>
        <w:ind w:right="1060" w:firstLine="490"/>
        <w:spacing w:after="0" w:line="253" w:lineRule="auto"/>
        <w:rPr>
          <w:sz w:val="20"/>
          <w:szCs w:val="20"/>
          <w:color w:val="auto"/>
        </w:rPr>
      </w:pPr>
      <w:r>
        <w:rPr>
          <w:rFonts w:ascii="Times New Roman" w:cs="Times New Roman" w:eastAsia="Times New Roman" w:hAnsi="Times New Roman"/>
          <w:sz w:val="20"/>
          <w:szCs w:val="20"/>
          <w:color w:val="auto"/>
        </w:rPr>
        <w:t>The following table summarizes the results of our operations for the periods indicated (in thousands, except percentages):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8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60" w:type="dxa"/>
            <w:vAlign w:val="bottom"/>
          </w:tcPr>
          <w:p>
            <w:pPr>
              <w:spacing w:after="0"/>
              <w:rPr>
                <w:sz w:val="22"/>
                <w:szCs w:val="22"/>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Dollar</w:t>
            </w:r>
          </w:p>
        </w:tc>
        <w:tc>
          <w:tcPr>
            <w:tcW w:w="10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40" w:type="dxa"/>
            <w:vAlign w:val="bottom"/>
            <w:vMerge w:val="continue"/>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182,373</w:t>
            </w:r>
          </w:p>
        </w:tc>
        <w:tc>
          <w:tcPr>
            <w:tcW w:w="160" w:type="dxa"/>
            <w:vAlign w:val="bottom"/>
          </w:tcPr>
          <w:p>
            <w:pPr>
              <w:spacing w:after="0"/>
              <w:rPr>
                <w:sz w:val="21"/>
                <w:szCs w:val="2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126,095</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56,278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49"/>
        </w:trPr>
        <w:tc>
          <w:tcPr>
            <w:tcW w:w="3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General and administrative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52,015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60,754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(8,739)</w:t>
            </w:r>
          </w:p>
        </w:tc>
        <w:tc>
          <w:tcPr>
            <w:tcW w:w="2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840" w:type="dxa"/>
            <w:vAlign w:val="bottom"/>
            <w:vMerge w:val="continue"/>
          </w:tcPr>
          <w:p>
            <w:pPr>
              <w:jc w:val="right"/>
              <w:ind w:right="80"/>
              <w:spacing w:after="0" w:line="196"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(234,388)</w:t>
            </w:r>
          </w:p>
        </w:tc>
        <w:tc>
          <w:tcPr>
            <w:tcW w:w="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(186,849)</w:t>
            </w:r>
          </w:p>
        </w:tc>
        <w:tc>
          <w:tcPr>
            <w:tcW w:w="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(47,539)</w:t>
            </w:r>
          </w:p>
        </w:tc>
        <w:tc>
          <w:tcPr>
            <w:tcW w:w="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44"/>
        </w:trPr>
        <w:tc>
          <w:tcPr>
            <w:tcW w:w="3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Interest income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(6,631)</w:t>
            </w:r>
          </w:p>
        </w:tc>
        <w:tc>
          <w:tcPr>
            <w:tcW w:w="2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49"/>
        </w:trPr>
        <w:tc>
          <w:tcPr>
            <w:tcW w:w="3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income (expense), net .........................</w:t>
            </w:r>
          </w:p>
        </w:tc>
        <w:tc>
          <w:tcPr>
            <w:tcW w:w="22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(506)</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w:t>
            </w: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840" w:type="dxa"/>
            <w:vAlign w:val="bottom"/>
            <w:vMerge w:val="continue"/>
          </w:tcPr>
          <w:p>
            <w:pPr>
              <w:jc w:val="right"/>
              <w:ind w:right="80"/>
              <w:spacing w:after="0" w:line="196"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(229,967)</w:t>
            </w:r>
          </w:p>
        </w:tc>
        <w:tc>
          <w:tcPr>
            <w:tcW w:w="16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(176,207)</w:t>
            </w:r>
          </w:p>
        </w:tc>
        <w:tc>
          <w:tcPr>
            <w:tcW w:w="240" w:type="dxa"/>
            <w:vAlign w:val="bottom"/>
            <w:vMerge w:val="continue"/>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(53,760)</w:t>
            </w:r>
          </w:p>
        </w:tc>
        <w:tc>
          <w:tcPr>
            <w:tcW w:w="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jc w:val="both"/>
        <w:ind w:right="440" w:firstLine="490"/>
        <w:spacing w:after="0" w:line="277" w:lineRule="auto"/>
        <w:rPr>
          <w:sz w:val="20"/>
          <w:szCs w:val="20"/>
          <w:color w:val="auto"/>
        </w:rPr>
      </w:pPr>
      <w:r>
        <w:rPr>
          <w:rFonts w:ascii="Times New Roman" w:cs="Times New Roman" w:eastAsia="Times New Roman" w:hAnsi="Times New Roman"/>
          <w:sz w:val="20"/>
          <w:szCs w:val="20"/>
          <w:color w:val="auto"/>
        </w:rPr>
        <w:t>Research and development expenses increased $56.3 million, or 45%, during the year ended December 31, 2025 as compared to 2024. The following table summarizes our research and development expenses for each year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80" w:type="dxa"/>
            <w:vAlign w:val="bottom"/>
            <w:gridSpan w:val="6"/>
          </w:tcPr>
          <w:p>
            <w:pPr>
              <w:ind w:left="3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80" w:type="dxa"/>
            <w:vAlign w:val="bottom"/>
          </w:tcPr>
          <w:p>
            <w:pPr>
              <w:spacing w:after="0"/>
              <w:rPr>
                <w:sz w:val="22"/>
                <w:szCs w:val="22"/>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25"/>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Tarcocimab program expenses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2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4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20" w:type="dxa"/>
            <w:vAlign w:val="bottom"/>
            <w:vMerge w:val="continue"/>
          </w:tcPr>
          <w:p>
            <w:pPr>
              <w:jc w:val="right"/>
              <w:ind w:right="100"/>
              <w:spacing w:after="0" w:line="182"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auto"/>
            </w:tcBorders>
          </w:tcPr>
          <w:p>
            <w:pPr>
              <w:jc w:val="right"/>
              <w:ind w:right="16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54,049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jc w:val="right"/>
              <w:ind w:right="16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39,496</w:t>
            </w:r>
          </w:p>
        </w:tc>
        <w:tc>
          <w:tcPr>
            <w:tcW w:w="260" w:type="dxa"/>
            <w:vAlign w:val="bottom"/>
          </w:tcPr>
          <w:p>
            <w:pPr>
              <w:spacing w:after="0"/>
              <w:rPr>
                <w:sz w:val="17"/>
                <w:szCs w:val="17"/>
                <w:color w:val="auto"/>
              </w:rPr>
            </w:pPr>
          </w:p>
        </w:tc>
        <w:tc>
          <w:tcPr>
            <w:tcW w:w="280" w:type="dxa"/>
            <w:vAlign w:val="bottom"/>
            <w:tcBorders>
              <w:top w:val="single" w:sz="8" w:color="auto"/>
            </w:tcBorders>
          </w:tcPr>
          <w:p>
            <w:pPr>
              <w:jc w:val="right"/>
              <w:ind w:right="8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14,553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KSI-501 and KSI-101 program expenses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28,980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ABC Platform and other program expenses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23,776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Payroll and personnel expenses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56,082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Facilities and other research and development</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expenses..........................................................................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19,486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25"/>
        </w:trPr>
        <w:tc>
          <w:tcPr>
            <w:tcW w:w="4620" w:type="dxa"/>
            <w:vAlign w:val="bottom"/>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..................Totalresearchanddevelopmentexpenses</w:t>
            </w:r>
          </w:p>
        </w:tc>
        <w:tc>
          <w:tcPr>
            <w:tcW w:w="360" w:type="dxa"/>
            <w:vAlign w:val="bottom"/>
            <w:tcBorders>
              <w:top w:val="single" w:sz="8" w:color="auto"/>
              <w:bottom w:val="single" w:sz="8" w:color="auto"/>
            </w:tcBorders>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182,373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126,095</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56,278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auto"/>
        </w:rPr>
        <w:t>Tarcocimab program expenses increased $14.6 million during the year ended December 31, 2025 as compared to 2024, primarily driven by increased costs related to the ongoing DAYBREAK pivotal phase 3 clinical trial, which was activated in mid-2024.</w:t>
      </w:r>
    </w:p>
    <w:p>
      <w:pPr>
        <w:spacing w:after="0" w:line="68"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KSI-501 and KSI-101 program expenses increased $20.5 million during the year ended December 31, 2025 as compared to 2024, due to increased costs related to DAYBREAK (a study for both tarcocimab and KSI-501) and the PEAK/PINNACLE and APEX clinical trials (studies for KSI-101), partially offset by reduced manufacturing expenses due to timing of production runs.</w:t>
      </w:r>
    </w:p>
    <w:p>
      <w:pPr>
        <w:spacing w:after="0" w:line="74" w:lineRule="exact"/>
        <w:rPr>
          <w:sz w:val="20"/>
          <w:szCs w:val="20"/>
          <w:color w:val="auto"/>
        </w:rPr>
      </w:pPr>
    </w:p>
    <w:p>
      <w:pPr>
        <w:ind w:right="640" w:firstLine="490"/>
        <w:spacing w:after="0" w:line="277" w:lineRule="auto"/>
        <w:rPr>
          <w:sz w:val="20"/>
          <w:szCs w:val="20"/>
          <w:color w:val="auto"/>
        </w:rPr>
      </w:pPr>
      <w:r>
        <w:rPr>
          <w:rFonts w:ascii="Times New Roman" w:cs="Times New Roman" w:eastAsia="Times New Roman" w:hAnsi="Times New Roman"/>
          <w:sz w:val="20"/>
          <w:szCs w:val="20"/>
          <w:color w:val="auto"/>
        </w:rPr>
        <w:t>ABC Platform and other program expenses increased $10.9 million during the year ended December 31, 2025 as compared to 2024, primarily due to increased biopolymer manufacturing activities in 2025.</w:t>
      </w:r>
    </w:p>
    <w:p>
      <w:pPr>
        <w:spacing w:after="0" w:line="49"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Payroll and personnel expenses increased $10.6 million during the year ended December 31, 2025 as compared to 2024, due to $5.4 million higher stock-based compensation reflecting forfeitures of equity awards in 2024 and $5.2 million higher payroll-related expenses from increased headcount in 2025.</w:t>
      </w:r>
    </w:p>
    <w:p>
      <w:pPr>
        <w:spacing w:after="0" w:line="6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Facilities and other research and development expenses, which consists primarily of rent-related costs and depreciation of facilities and lab equipment, remained relatively flat.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decreased $8.7 million, or 14%, during the year ended December 31, 2025 compared to 2024 due to $6.8 million lower stock compensation expense as we are no longer recognizing expense associated with older, higher-value stock awards that fully vested, and a $2 million reduction in facilities costs driven by lower net rent expense after subleasing one of our Palo Alto buildings (partially offset by a non-cash $1.9 million lease impairment expense recorded in the first quarter of 2025 also related to the sublease).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18" w:lineRule="exact"/>
        <w:rPr>
          <w:sz w:val="20"/>
          <w:szCs w:val="20"/>
          <w:color w:val="auto"/>
        </w:rPr>
      </w:pPr>
    </w:p>
    <w:p>
      <w:pPr>
        <w:ind w:right="500" w:firstLine="490"/>
        <w:spacing w:after="0" w:line="305" w:lineRule="auto"/>
        <w:rPr>
          <w:sz w:val="20"/>
          <w:szCs w:val="20"/>
          <w:color w:val="auto"/>
        </w:rPr>
      </w:pPr>
      <w:r>
        <w:rPr>
          <w:rFonts w:ascii="Times New Roman" w:cs="Times New Roman" w:eastAsia="Times New Roman" w:hAnsi="Times New Roman"/>
          <w:sz w:val="19"/>
          <w:szCs w:val="19"/>
          <w:color w:val="auto"/>
        </w:rPr>
        <w:t>Interest income decreased $6.6 million during the year ended December 31, 2025 as compared to 2024, which was attributable to the overall decrease in cash available to earn interest during 2025 combined with lower rates of return.</w:t>
      </w:r>
    </w:p>
    <w:p>
      <w:pPr>
        <w:sectPr>
          <w:pgSz w:w="12240" w:h="15840" w:orient="portrait"/>
          <w:cols w:equalWidth="0" w:num="1">
            <w:col w:w="10160"/>
          </w:cols>
          <w:pgMar w:left="1080" w:top="1037" w:right="1000" w:bottom="175"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160"/>
          </w:cols>
          <w:pgMar w:left="1080" w:top="1037" w:right="1000" w:bottom="175"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118" w:lineRule="exact"/>
        <w:rPr>
          <w:sz w:val="20"/>
          <w:szCs w:val="20"/>
          <w:color w:val="auto"/>
        </w:rPr>
      </w:pPr>
    </w:p>
    <w:p>
      <w:pPr>
        <w:ind w:right="220" w:firstLine="490"/>
        <w:spacing w:after="0" w:line="305" w:lineRule="auto"/>
        <w:rPr>
          <w:sz w:val="20"/>
          <w:szCs w:val="20"/>
          <w:color w:val="auto"/>
        </w:rPr>
      </w:pPr>
      <w:r>
        <w:rPr>
          <w:rFonts w:ascii="Times New Roman" w:cs="Times New Roman" w:eastAsia="Times New Roman" w:hAnsi="Times New Roman"/>
          <w:sz w:val="19"/>
          <w:szCs w:val="19"/>
          <w:color w:val="auto"/>
        </w:rPr>
        <w:t>Other income (expense), net increased $0.4 million during the year ended December 31, 2025 as compared to 2024, which was mainly attributable to the settlement of foreign currency forward contracts in 2024 with no such activity in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Comparison of the Fiscal Years Ended December 31, 2024 and 2023</w:t>
      </w:r>
    </w:p>
    <w:p>
      <w:pPr>
        <w:spacing w:after="0" w:line="11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For a comparison of our results of operations for the fiscal years ended December 31, 2024 and 2023, refer to “Part II, Item 7 — Management’s Discussion and Analysis of Financial Condition and Results of Operations” in our Annual Report on Form 10-K for the fiscal year ended December 31, 2024, filed with the SEC on March 27,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 Plan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2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auto"/>
        </w:rPr>
        <w:t>We have funded our operations primarily through the issuance of common stock and the sale of future royalties. As of December 31, 2025, we had cash and cash equivalents of $209.9 million. We believe that our current cash and cash equivalents will be sufficient to support our current and planned operations into 2027.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Public Offering</w:t>
      </w:r>
    </w:p>
    <w:p>
      <w:pPr>
        <w:spacing w:after="0" w:line="24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In December 2025, we completed an equity offering in which we issued and sold 8 million shares of common stock at a public offering price of $23.00 per share. Net proceeds were $173.0 million after the underwriting discount.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We have incurred net losses and negative cash flows from operations since inception. As of December 31, 2025, we had an accumulated deficit of $1,559 million. We expect to continue to incur operating losses and negative operating cash flows for the foreseeable future and, as a result, there is substantial doubt regarding our ability to continue as a going concern.</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plan to raise additional capital to maintain current operations and to continue research and development activities. If we raise additional funds by issuing equity securities, our stockholders will experience dilution. Any future debt financing into which we enter may impose upon us covenants that restrict our operations, including limitations on our ability to incur liens or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pause, scale back or discontinue one or more of our development programs. We may also be required to sell or license rights to our product candidates or indications in certain territories to others that we would prefer to develop and commercialize ourselves. Adequate additional funding may not be available to us on acceptable terms or at all.</w:t>
      </w:r>
    </w:p>
    <w:p>
      <w:pPr>
        <w:spacing w:after="0" w:line="86"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Our failure to raise capital as and when needed could have a negative impact on our financial condition and our ability to pursue our business strategies. Refer to the section of this report titled “Part I, Item 1A — Risk Factors” for additional risks associated with our substantial capital requirements.</w:t>
      </w:r>
    </w:p>
    <w:p>
      <w:pPr>
        <w:spacing w:after="0" w:line="6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timing and amount of our operating expenditures and capital requirements will depend on many factors, including:</w:t>
      </w:r>
    </w:p>
    <w:p>
      <w:pPr>
        <w:spacing w:after="0" w:line="134" w:lineRule="exact"/>
        <w:rPr>
          <w:sz w:val="20"/>
          <w:szCs w:val="20"/>
          <w:color w:val="auto"/>
        </w:rPr>
      </w:pPr>
    </w:p>
    <w:p>
      <w:pPr>
        <w:ind w:left="720" w:right="420" w:hanging="360"/>
        <w:spacing w:after="0" w:line="276" w:lineRule="auto"/>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timing, rate of progress and costs of our drug discovery, preclinical development activities, laboratory testing and clinical trials for our product candidates;</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clinical programs we decide to pursue;</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and costs of manufacturing development and commercial manufacturing activities;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cost, timing and outcome of regulatory review of our product candidates;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associated with commercializing our product candidates, if they receive marketing approval;</w:t>
      </w:r>
    </w:p>
    <w:p>
      <w:pPr>
        <w:sectPr>
          <w:pgSz w:w="12240" w:h="15840" w:orient="portrait"/>
          <w:cols w:equalWidth="0" w:num="1">
            <w:col w:w="10140"/>
          </w:cols>
          <w:pgMar w:left="1080" w:top="1062" w:right="1020" w:bottom="175"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140"/>
          </w:cols>
          <w:pgMar w:left="1080" w:top="1062" w:right="1020" w:bottom="175" w:gutter="0" w:footer="0" w:header="0"/>
          <w:type w:val="continuous"/>
        </w:sectPr>
      </w:pPr>
    </w:p>
    <w:bookmarkStart w:id="85" w:name="page86"/>
    <w:bookmarkEnd w:id="85"/>
    <w:p>
      <w:pPr>
        <w:ind w:left="720" w:right="100" w:hanging="360"/>
        <w:spacing w:after="0" w:line="276" w:lineRule="auto"/>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collaborations on favorable terms, if at all;</w:t>
      </w:r>
    </w:p>
    <w:p>
      <w:pPr>
        <w:spacing w:after="0" w:line="133" w:lineRule="exact"/>
        <w:rPr>
          <w:rFonts w:ascii="Arial" w:cs="Arial" w:eastAsia="Arial" w:hAnsi="Arial"/>
          <w:sz w:val="20"/>
          <w:szCs w:val="20"/>
          <w:color w:val="auto"/>
        </w:rPr>
      </w:pPr>
    </w:p>
    <w:p>
      <w:pPr>
        <w:ind w:left="720" w:right="380" w:hanging="360"/>
        <w:spacing w:after="0" w:line="276" w:lineRule="auto"/>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efforts to enhance operational systems and our ability to attract, hire and retain qualified personnel, including personnel to support the development of our product candidates; and</w:t>
      </w:r>
    </w:p>
    <w:p>
      <w:pPr>
        <w:spacing w:after="0" w:line="64" w:lineRule="exact"/>
        <w:rPr>
          <w:rFonts w:ascii="Arial" w:cs="Arial" w:eastAsia="Arial" w:hAnsi="Arial"/>
          <w:sz w:val="20"/>
          <w:szCs w:val="20"/>
          <w:color w:val="auto"/>
        </w:rPr>
      </w:pPr>
    </w:p>
    <w:p>
      <w:pPr>
        <w:ind w:left="720" w:hanging="360"/>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being a public company.</w:t>
      </w:r>
    </w:p>
    <w:p>
      <w:pPr>
        <w:spacing w:after="0" w:line="119" w:lineRule="exact"/>
        <w:rPr>
          <w:sz w:val="20"/>
          <w:szCs w:val="20"/>
          <w:color w:val="auto"/>
        </w:rPr>
      </w:pPr>
    </w:p>
    <w:p>
      <w:pPr>
        <w:ind w:right="640" w:firstLine="490"/>
        <w:spacing w:after="0" w:line="252" w:lineRule="auto"/>
        <w:rPr>
          <w:sz w:val="20"/>
          <w:szCs w:val="20"/>
          <w:color w:val="auto"/>
        </w:rPr>
      </w:pPr>
      <w:r>
        <w:rPr>
          <w:rFonts w:ascii="Times New Roman" w:cs="Times New Roman" w:eastAsia="Times New Roman" w:hAnsi="Times New Roman"/>
          <w:sz w:val="20"/>
          <w:szCs w:val="20"/>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spacing w:after="0" w:line="7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Also, the significant uncertainties caused by any public health crises, on-going geopolitical conflicts, inflation, tariffs, rising interest rates, bank failures, on-going supply chain disruptions and volatile equity capital markets may also negatively impact our operations and capital resources. While we and our key clinical and manufacturing partners have been able to continue to advance our operations,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spacing w:after="0" w:line="8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have based our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Statement of Cash Flows</w:t>
      </w:r>
    </w:p>
    <w:p>
      <w:pPr>
        <w:spacing w:after="0" w:line="107" w:lineRule="exact"/>
        <w:rPr>
          <w:sz w:val="20"/>
          <w:szCs w:val="20"/>
          <w:color w:val="auto"/>
        </w:rPr>
      </w:pPr>
    </w:p>
    <w:p>
      <w:pPr>
        <w:ind w:right="840" w:firstLine="490"/>
        <w:spacing w:after="0" w:line="263" w:lineRule="auto"/>
        <w:rPr>
          <w:sz w:val="20"/>
          <w:szCs w:val="20"/>
          <w:color w:val="auto"/>
        </w:rPr>
      </w:pPr>
      <w:r>
        <w:rPr>
          <w:rFonts w:ascii="Times New Roman" w:cs="Times New Roman" w:eastAsia="Times New Roman" w:hAnsi="Times New Roman"/>
          <w:sz w:val="20"/>
          <w:szCs w:val="20"/>
          <w:color w:val="auto"/>
        </w:rPr>
        <w:t>The following table sets forth the primary sources and uses of cash for each of the periods presented below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60" w:type="dxa"/>
            <w:vAlign w:val="bottom"/>
            <w:gridSpan w:val="6"/>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9"/>
        </w:trPr>
        <w:tc>
          <w:tcPr>
            <w:tcW w:w="6800" w:type="dxa"/>
            <w:vAlign w:val="bottom"/>
            <w:vMerge w:val="restart"/>
          </w:tcPr>
          <w:p>
            <w:pPr>
              <w:jc w:val="right"/>
              <w:ind w:right="3800"/>
              <w:spacing w:after="0"/>
              <w:rPr>
                <w:sz w:val="20"/>
                <w:szCs w:val="20"/>
                <w:color w:val="auto"/>
              </w:rPr>
            </w:pPr>
            <w:r>
              <w:rPr>
                <w:rFonts w:ascii="Times New Roman" w:cs="Times New Roman" w:eastAsia="Times New Roman" w:hAnsi="Times New Roman"/>
                <w:sz w:val="20"/>
                <w:szCs w:val="20"/>
                <w:color w:val="auto"/>
                <w:w w:val="99"/>
              </w:rPr>
              <w:t>Net cash used in operating activities</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800" w:type="dxa"/>
            <w:vAlign w:val="bottom"/>
            <w:vMerge w:val="continue"/>
          </w:tcPr>
          <w:p>
            <w:pPr>
              <w:jc w:val="right"/>
              <w:ind w:right="2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Net cash used in investing activities............................................................................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0" w:type="dxa"/>
            <w:vAlign w:val="bottom"/>
          </w:tcPr>
          <w:p>
            <w:pPr>
              <w:spacing w:after="0"/>
              <w:rPr>
                <w:sz w:val="1"/>
                <w:szCs w:val="1"/>
                <w:color w:val="auto"/>
              </w:rPr>
            </w:pPr>
          </w:p>
        </w:tc>
      </w:tr>
      <w:tr>
        <w:trPr>
          <w:trHeight w:val="250"/>
        </w:trPr>
        <w:tc>
          <w:tcPr>
            <w:tcW w:w="6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Net cash provided by financing activities....................................................................</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178,302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................................................Netincrease(decrease)incashandcashequivalents</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(117,573)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Operating Activities</w:t>
      </w:r>
    </w:p>
    <w:p>
      <w:pPr>
        <w:spacing w:after="0" w:line="107" w:lineRule="exact"/>
        <w:rPr>
          <w:sz w:val="20"/>
          <w:szCs w:val="20"/>
          <w:color w:val="auto"/>
        </w:rPr>
      </w:pPr>
    </w:p>
    <w:p>
      <w:pPr>
        <w:ind w:right="600" w:firstLine="490"/>
        <w:spacing w:after="0" w:line="263" w:lineRule="auto"/>
        <w:rPr>
          <w:sz w:val="20"/>
          <w:szCs w:val="20"/>
          <w:color w:val="auto"/>
        </w:rPr>
      </w:pPr>
      <w:r>
        <w:rPr>
          <w:rFonts w:ascii="Times New Roman" w:cs="Times New Roman" w:eastAsia="Times New Roman" w:hAnsi="Times New Roman"/>
          <w:sz w:val="20"/>
          <w:szCs w:val="20"/>
          <w:color w:val="auto"/>
        </w:rPr>
        <w:t>Net cash used in operating activities increased to $136.0 million for the year ended December 31, 2025, based on operational spend of $142.8 million and changes in operating assets and liabilities of $6.8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Financing Activities</w:t>
      </w:r>
    </w:p>
    <w:p>
      <w:pPr>
        <w:spacing w:after="0" w:line="107" w:lineRule="exact"/>
        <w:rPr>
          <w:sz w:val="20"/>
          <w:szCs w:val="20"/>
          <w:color w:val="auto"/>
        </w:rPr>
      </w:pPr>
    </w:p>
    <w:p>
      <w:pPr>
        <w:ind w:right="480" w:firstLine="490"/>
        <w:spacing w:after="0" w:line="238" w:lineRule="auto"/>
        <w:rPr>
          <w:sz w:val="20"/>
          <w:szCs w:val="20"/>
          <w:color w:val="auto"/>
        </w:rPr>
      </w:pPr>
      <w:r>
        <w:rPr>
          <w:rFonts w:ascii="Times New Roman" w:cs="Times New Roman" w:eastAsia="Times New Roman" w:hAnsi="Times New Roman"/>
          <w:sz w:val="20"/>
          <w:szCs w:val="20"/>
          <w:color w:val="auto"/>
        </w:rPr>
        <w:t>During the year ended December 31, 2025, we completed an equity offering in which we issued and sold 8 million shares of common stock at a public offering price of $23.00 per share. Net proceeds were $173.0 million after the underwriting discount. We also received $5.3 million in proceeds from the issuance of common stock under our equity incentive plans.</w:t>
      </w:r>
    </w:p>
    <w:p>
      <w:pPr>
        <w:sectPr>
          <w:pgSz w:w="12240" w:h="15840" w:orient="portrait"/>
          <w:cols w:equalWidth="0" w:num="1">
            <w:col w:w="10160"/>
          </w:cols>
          <w:pgMar w:left="1080" w:top="1074"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160"/>
          </w:cols>
          <w:pgMar w:left="1080" w:top="1074" w:right="1000" w:bottom="175"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Material Cash Requirements and Material Known Contractual Obligations and Commitments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Leases</w:t>
      </w:r>
    </w:p>
    <w:p>
      <w:pPr>
        <w:spacing w:after="0" w:line="11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Operating lease payments represent our commitment for future minimum rent made under non-cancelable leases for our corporate offices in Palo Alto, California, office and laboratory space in Visp, Switzerland, and related to our Ursus Facility. Total future undiscounted payments for our operating lease obligations as of December 31, 2025 were $73.3 million, of which $15.6 million is due in the next 12 months.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Manufacturing Agreements</w:t>
      </w:r>
    </w:p>
    <w:p>
      <w:pPr>
        <w:spacing w:after="0" w:line="118" w:lineRule="exact"/>
        <w:rPr>
          <w:sz w:val="20"/>
          <w:szCs w:val="20"/>
          <w:color w:val="auto"/>
        </w:rPr>
      </w:pPr>
    </w:p>
    <w:p>
      <w:pPr>
        <w:ind w:right="260" w:firstLine="490"/>
        <w:spacing w:after="0" w:line="305" w:lineRule="auto"/>
        <w:rPr>
          <w:sz w:val="20"/>
          <w:szCs w:val="20"/>
          <w:color w:val="auto"/>
        </w:rPr>
      </w:pPr>
      <w:r>
        <w:rPr>
          <w:rFonts w:ascii="Times New Roman" w:cs="Times New Roman" w:eastAsia="Times New Roman" w:hAnsi="Times New Roman"/>
          <w:sz w:val="19"/>
          <w:szCs w:val="19"/>
          <w:color w:val="auto"/>
        </w:rPr>
        <w:t>The Company has entered into service and equipment purchase agreements in the normal course of business with various providers of manufacturing services, which can contain minimum commitments or other noncancelable obligations.</w:t>
      </w:r>
    </w:p>
    <w:p>
      <w:pPr>
        <w:spacing w:after="0" w:line="25"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2025, future contractual obligations related to these manufacturing agreements that may be subject to cancellation fees were $23.9 million, of which $19.2 million is expected to be due in the next 12 months.</w:t>
      </w:r>
    </w:p>
    <w:p>
      <w:pPr>
        <w:spacing w:after="0" w:line="49"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In addition, future manufacturing contractual obligations totaling approximately 86.5 million Swiss Francs may be incurred for the potential clinical and commercial supply of tarcocimab and other antibody biopolymer conjugates medicines based on the agreements with Lonza for production at the Ursus Facility.</w:t>
      </w:r>
    </w:p>
    <w:p>
      <w:pPr>
        <w:spacing w:after="0" w:line="68"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auto"/>
        </w:rPr>
        <w:t>For further information on our leases and manufacturing agreements, refer to Note 8 to our consolidated financial statements included in “Part II, Item 8 — Financial Statements and Supplementary Data” of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Agreements</w:t>
      </w:r>
    </w:p>
    <w:p>
      <w:pPr>
        <w:spacing w:after="0" w:line="118"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Company may incur potential contingent payments upon our achievement of clinical, regulatory and commercial milestones, as applicable. Due to the uncertainty of the achievement and timing of the events requiring payment under these agreements, the amounts to be paid by us are not fixed or determinable at this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Significant Judgments and Use of Estimates</w:t>
      </w:r>
    </w:p>
    <w:p>
      <w:pPr>
        <w:spacing w:after="0" w:line="124"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liabilities and other current liabilities on the consolidated balance sheet. If the actual timing of the performance of services or the level of effort varies from the original estimates, we will adjust the accrual accordingly. Payments made to third parties under these arrangements in advance of the performance of the related services are recorded as prepaid expenses and other assets until the services are rendered.</w:t>
      </w:r>
    </w:p>
    <w:p>
      <w:pPr>
        <w:sectPr>
          <w:pgSz w:w="12240" w:h="15840" w:orient="portrait"/>
          <w:cols w:equalWidth="0" w:num="1">
            <w:col w:w="10160"/>
          </w:cols>
          <w:pgMar w:left="1080" w:top="1043"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160"/>
          </w:cols>
          <w:pgMar w:left="1080" w:top="1043" w:right="1000" w:bottom="175"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35" w:lineRule="exact"/>
        <w:rPr>
          <w:sz w:val="20"/>
          <w:szCs w:val="20"/>
          <w:color w:val="auto"/>
        </w:rPr>
      </w:pPr>
    </w:p>
    <w:p>
      <w:pPr>
        <w:ind w:left="480"/>
        <w:spacing w:after="0" w:line="230" w:lineRule="exact"/>
        <w:rPr>
          <w:sz w:val="20"/>
          <w:szCs w:val="20"/>
          <w:color w:val="auto"/>
        </w:rPr>
      </w:pPr>
      <w:r>
        <w:rPr>
          <w:rFonts w:ascii="Times New Roman" w:cs="Times New Roman" w:eastAsia="Times New Roman" w:hAnsi="Times New Roman"/>
          <w:sz w:val="20"/>
          <w:szCs w:val="20"/>
          <w:color w:val="auto"/>
        </w:rPr>
        <w:t>We measure and recognize compensation expense for all stock</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based awards made to employees, directors and</w:t>
      </w:r>
    </w:p>
    <w:p>
      <w:pPr>
        <w:spacing w:after="0" w:line="36"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non</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employees, based on estimated fair values of the awards on the grant date and recognized using the straight</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line method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the requisite service period.</w:t>
      </w:r>
    </w:p>
    <w:p>
      <w:pPr>
        <w:spacing w:after="0" w:line="114" w:lineRule="exact"/>
        <w:rPr>
          <w:sz w:val="20"/>
          <w:szCs w:val="20"/>
          <w:color w:val="auto"/>
        </w:rPr>
      </w:pPr>
    </w:p>
    <w:p>
      <w:pPr>
        <w:ind w:firstLine="490"/>
        <w:spacing w:after="0" w:line="249" w:lineRule="exact"/>
        <w:rPr>
          <w:sz w:val="20"/>
          <w:szCs w:val="20"/>
          <w:color w:val="auto"/>
        </w:rPr>
      </w:pPr>
      <w:r>
        <w:rPr>
          <w:rFonts w:ascii="Times New Roman" w:cs="Times New Roman" w:eastAsia="Times New Roman" w:hAnsi="Times New Roman"/>
          <w:sz w:val="20"/>
          <w:szCs w:val="20"/>
          <w:color w:val="auto"/>
        </w:rPr>
        <w:t>The fair value of options is estimated on the grant date using the Black</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Scholes option valuation model. The calculation of stock</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based compensation expense requires that we make certain assumptions and judgments about a number of complex and subjective variables used in the valuation model, including the expected term, expected volatility of the underlying common stock and risk</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free interest rate. Our stock-based awards are subject to either service, performance-based or market-based vesting conditions. We evaluate whether achievement of the performance conditions is probable and record expense over the appropriate service period based on this assessment.</w:t>
      </w:r>
    </w:p>
    <w:p>
      <w:pPr>
        <w:spacing w:after="0" w:line="86"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Changes in these assumptions can materially affect the fair value and ultimately how much stock-based compensation expense is recognized. These inputs are subjective and generally require significant analysis and judgment to develop.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24" w:lineRule="exact"/>
        <w:rPr>
          <w:sz w:val="20"/>
          <w:szCs w:val="20"/>
          <w:color w:val="auto"/>
        </w:rPr>
      </w:pPr>
    </w:p>
    <w:p>
      <w:pPr>
        <w:ind w:right="560" w:firstLine="490"/>
        <w:spacing w:after="0" w:line="258" w:lineRule="auto"/>
        <w:rPr>
          <w:sz w:val="20"/>
          <w:szCs w:val="20"/>
          <w:color w:val="auto"/>
        </w:rPr>
      </w:pPr>
      <w:r>
        <w:rPr>
          <w:rFonts w:ascii="Times New Roman" w:cs="Times New Roman" w:eastAsia="Times New Roman" w:hAnsi="Times New Roman"/>
          <w:sz w:val="20"/>
          <w:szCs w:val="20"/>
          <w:color w:val="auto"/>
        </w:rPr>
        <w:t>A description of recently issued accounting pronouncements that may impact our financial position and results of operations is discussed under Note 2 to our consolidated financial statements included in “Part II, Item 8 — Financial Statements and Supplementary Data” of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 ABOUT MARKET RISK</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a “smaller reporting company”, we are not required to provide the information under this item.</w:t>
      </w:r>
    </w:p>
    <w:p>
      <w:pPr>
        <w:sectPr>
          <w:pgSz w:w="12240" w:h="15840" w:orient="portrait"/>
          <w:cols w:equalWidth="0" w:num="1">
            <w:col w:w="10120"/>
          </w:cols>
          <w:pgMar w:left="1080" w:top="1060" w:right="10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120"/>
          </w:cols>
          <w:pgMar w:left="1080" w:top="1060" w:right="1040" w:bottom="175"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66"/>
        </w:trPr>
        <w:tc>
          <w:tcPr>
            <w:tcW w:w="9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r>
      <w:tr>
        <w:trPr>
          <w:trHeight w:val="404"/>
        </w:trPr>
        <w:tc>
          <w:tcPr>
            <w:tcW w:w="9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80</w:t>
            </w:r>
          </w:p>
        </w:tc>
      </w:tr>
      <w:tr>
        <w:trPr>
          <w:trHeight w:val="230"/>
        </w:trPr>
        <w:tc>
          <w:tcPr>
            <w:tcW w:w="9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81</w:t>
            </w:r>
          </w:p>
        </w:tc>
      </w:tr>
      <w:tr>
        <w:trPr>
          <w:trHeight w:val="230"/>
        </w:trPr>
        <w:tc>
          <w:tcPr>
            <w:tcW w:w="9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82</w:t>
            </w:r>
          </w:p>
        </w:tc>
      </w:tr>
      <w:tr>
        <w:trPr>
          <w:trHeight w:val="266"/>
        </w:trPr>
        <w:tc>
          <w:tcPr>
            <w:tcW w:w="9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83</w:t>
            </w:r>
          </w:p>
        </w:tc>
      </w:tr>
      <w:tr>
        <w:trPr>
          <w:trHeight w:val="424"/>
        </w:trPr>
        <w:tc>
          <w:tcPr>
            <w:tcW w:w="9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800" w:type="dxa"/>
            <w:vAlign w:val="bottom"/>
          </w:tcPr>
          <w:p>
            <w:pPr>
              <w:spacing w:after="0"/>
              <w:rPr>
                <w:sz w:val="24"/>
                <w:szCs w:val="24"/>
                <w:color w:val="auto"/>
              </w:rPr>
            </w:pP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1.</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Company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84</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2.</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Summary of Significant Accounting Policies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84</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3.</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89</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4.</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and Other Current Liabilities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89</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5.</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Fair Value Measurements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89</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6.</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Marketable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7.</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Derivatives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8.</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9.</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Income Taxes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92</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10.</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Common Stock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95</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11.</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Stock-Based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95</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12.</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Segment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97</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13.</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Loss Per Common Share</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98</w:t>
            </w:r>
          </w:p>
        </w:tc>
      </w:tr>
      <w:tr>
        <w:trPr>
          <w:trHeight w:val="230"/>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14.</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401(k)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98</w:t>
            </w:r>
          </w:p>
        </w:tc>
      </w:tr>
      <w:tr>
        <w:trPr>
          <w:trHeight w:val="266"/>
        </w:trPr>
        <w:tc>
          <w:tcPr>
            <w:tcW w:w="14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 15.</w:t>
            </w:r>
          </w:p>
        </w:tc>
        <w:tc>
          <w:tcPr>
            <w:tcW w:w="7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Liability Related to Sale of Future Royalties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99</w:t>
            </w:r>
          </w:p>
        </w:tc>
      </w:tr>
    </w:tbl>
    <w:p>
      <w:pPr>
        <w:spacing w:after="0" w:line="200" w:lineRule="exact"/>
        <w:rPr>
          <w:sz w:val="20"/>
          <w:szCs w:val="20"/>
          <w:color w:val="auto"/>
        </w:rPr>
      </w:pPr>
    </w:p>
    <w:p>
      <w:pPr>
        <w:sectPr>
          <w:pgSz w:w="12240" w:h="15840" w:orient="portrait"/>
          <w:cols w:equalWidth="0" w:num="1">
            <w:col w:w="10160"/>
          </w:cols>
          <w:pgMar w:left="1080" w:top="105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160"/>
          </w:cols>
          <w:pgMar w:left="1080" w:top="1056" w:right="1000" w:bottom="175" w:gutter="0" w:footer="0" w:header="0"/>
          <w:type w:val="continuous"/>
        </w:sectPr>
      </w:pPr>
    </w:p>
    <w:bookmarkStart w:id="89" w:name="page90"/>
    <w:bookmarkEnd w:id="89"/>
    <w:p>
      <w:pPr>
        <w:ind w:left="25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Kodiak Sciences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0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Kodiak Sciences Inc. and its subsidiaries (the “Company”) as of December 31, 2025 and 2024, and the related consolidated statements of operations and comprehensive loss, of stockholders’ equity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Substantial Doubt About the Company's Ability to Continue as a Going Concern</w:t>
      </w:r>
    </w:p>
    <w:p>
      <w:pPr>
        <w:spacing w:after="0" w:line="19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consolidated financial statements, the Company has incurred net losses and negative cash flows from operations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ectPr>
          <w:pgSz w:w="12240" w:h="15840" w:orient="portrait"/>
          <w:cols w:equalWidth="0" w:num="1">
            <w:col w:w="10160"/>
          </w:cols>
          <w:pgMar w:left="1080" w:top="105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160"/>
          </w:cols>
          <w:pgMar w:left="1080" w:top="1056" w:right="1000" w:bottom="175"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Certain Research and Development Costs</w:t>
      </w:r>
    </w:p>
    <w:p>
      <w:pPr>
        <w:spacing w:after="0" w:line="19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depreciation and utilities. The Company has entered into various agreements with various third parties, including clinical investigator sites, contract research organizations (“CROs”) and contract manufacturing organizations (“CMOs”), to provide research and development activities. The Company’s research and development expense for the year ended December 31, 2025 was $182.4 million, of which a portion relates to certain research and development costs.</w:t>
      </w:r>
    </w:p>
    <w:p>
      <w:pPr>
        <w:spacing w:after="0" w:line="208" w:lineRule="exact"/>
        <w:rPr>
          <w:sz w:val="20"/>
          <w:szCs w:val="20"/>
          <w:color w:val="auto"/>
        </w:rPr>
      </w:pPr>
    </w:p>
    <w:p>
      <w:pPr>
        <w:jc w:val="both"/>
        <w:ind w:right="360"/>
        <w:spacing w:after="0" w:line="275"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certain research and development costs is a critical audit matter is a high degree of auditor effort in performing procedures related to the Company’s certain research and development costs.</w:t>
      </w:r>
    </w:p>
    <w:p>
      <w:pPr>
        <w:spacing w:after="0" w:line="14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among others, testing certain research and development costs on a sample basis by agreeing relevant information and expenses incurred to date to the (i) underlying agreements with outside vendors engaged to conduct preclinical studies, clinical trials, and clinical supply manufacturing; (ii) purchase orders; (iii) invoices received; and (iv) underlying payments made for expenses incurred on the contract.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rPr>
          <w:sz w:val="20"/>
          <w:szCs w:val="20"/>
          <w:color w:val="auto"/>
        </w:rPr>
      </w:pPr>
      <w:r>
        <w:rPr>
          <w:rFonts w:ascii="Times New Roman" w:cs="Times New Roman" w:eastAsia="Times New Roman" w:hAnsi="Times New Roman"/>
          <w:sz w:val="20"/>
          <w:szCs w:val="20"/>
          <w:color w:val="auto"/>
        </w:rPr>
        <w:t>March 31,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ectPr>
          <w:pgSz w:w="12240" w:h="15840" w:orient="portrait"/>
          <w:cols w:equalWidth="0" w:num="1">
            <w:col w:w="10160"/>
          </w:cols>
          <w:pgMar w:left="1080" w:top="106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160"/>
          </w:cols>
          <w:pgMar w:left="1080" w:top="1060" w:right="1000" w:bottom="175"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7"/>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209,862</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780" w:type="dxa"/>
            <w:vAlign w:val="bottom"/>
          </w:tcPr>
          <w:p>
            <w:pPr>
              <w:jc w:val="right"/>
              <w:ind w:right="8"/>
              <w:spacing w:after="0" w:line="192"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Totalcurrentassets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214,816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171,936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w w:val="99"/>
              </w:rPr>
              <w:t xml:space="preserve">Restricted cash </w:t>
            </w:r>
            <w:r>
              <w:rPr>
                <w:rFonts w:ascii="Times New Roman" w:cs="Times New Roman" w:eastAsia="Times New Roman" w:hAnsi="Times New Roman"/>
                <w:sz w:val="20"/>
                <w:szCs w:val="20"/>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w w:val="99"/>
              </w:rPr>
              <w:t xml:space="preserve">Property and equipment, net </w:t>
            </w:r>
            <w:r>
              <w:rPr>
                <w:rFonts w:ascii="Times New Roman" w:cs="Times New Roman" w:eastAsia="Times New Roman" w:hAnsi="Times New Roman"/>
                <w:sz w:val="20"/>
                <w:szCs w:val="20"/>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w w:val="99"/>
              </w:rPr>
              <w:t xml:space="preserve">Operating lease right-of-use asset </w:t>
            </w:r>
            <w:r>
              <w:rPr>
                <w:rFonts w:ascii="Times New Roman" w:cs="Times New Roman" w:eastAsia="Times New Roman" w:hAnsi="Times New Roman"/>
                <w:sz w:val="20"/>
                <w:szCs w:val="20"/>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w w:val="99"/>
              </w:rPr>
              <w:t>Other assets</w:t>
            </w:r>
            <w:r>
              <w:rPr>
                <w:rFonts w:ascii="Times New Roman" w:cs="Times New Roman" w:eastAsia="Times New Roman" w:hAnsi="Times New Roman"/>
                <w:sz w:val="20"/>
                <w:szCs w:val="20"/>
                <w:color w:val="auto"/>
                <w:w w:val="99"/>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80" w:type="dxa"/>
            <w:vAlign w:val="bottom"/>
          </w:tcPr>
          <w:p>
            <w:pPr>
              <w:jc w:val="right"/>
              <w:ind w:right="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Totalassets</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rPr>
              <w:t xml:space="preserve">Accounts payable </w:t>
            </w: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rPr>
              <w:t xml:space="preserve">Accrued and other current liabilities </w:t>
            </w: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Operating lease liability</w:t>
            </w: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780" w:type="dxa"/>
            <w:vAlign w:val="bottom"/>
          </w:tcPr>
          <w:p>
            <w:pPr>
              <w:jc w:val="right"/>
              <w:ind w:right="8"/>
              <w:spacing w:after="0" w:line="192"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Totalcurrentliabilities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45,533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25,573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w w:val="99"/>
              </w:rPr>
              <w:t xml:space="preserve">Long-term operating lease liability </w:t>
            </w:r>
            <w:r>
              <w:rPr>
                <w:rFonts w:ascii="Times New Roman" w:cs="Times New Roman" w:eastAsia="Times New Roman" w:hAnsi="Times New Roman"/>
                <w:sz w:val="20"/>
                <w:szCs w:val="20"/>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w w:val="99"/>
              </w:rPr>
              <w:t xml:space="preserve">Liability related to sale of future royalties </w:t>
            </w:r>
            <w:r>
              <w:rPr>
                <w:rFonts w:ascii="Times New Roman" w:cs="Times New Roman" w:eastAsia="Times New Roman" w:hAnsi="Times New Roman"/>
                <w:sz w:val="20"/>
                <w:szCs w:val="20"/>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w w:val="99"/>
              </w:rPr>
              <w:t xml:space="preserve">Long-term deposit </w:t>
            </w:r>
            <w:r>
              <w:rPr>
                <w:rFonts w:ascii="Times New Roman" w:cs="Times New Roman" w:eastAsia="Times New Roman" w:hAnsi="Times New Roman"/>
                <w:sz w:val="20"/>
                <w:szCs w:val="20"/>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jc w:val="right"/>
              <w:ind w:right="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Totalliabilities</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7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 xml:space="preserve">Preferred stock, $0.0001 par value – 10,000,000 shares authorized; none issued </w:t>
            </w: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6780" w:type="dxa"/>
            <w:vAlign w:val="bottom"/>
          </w:tcPr>
          <w:p>
            <w:pPr>
              <w:jc w:val="right"/>
              <w:ind w:right="408"/>
              <w:spacing w:after="0" w:line="187" w:lineRule="exact"/>
              <w:rPr>
                <w:sz w:val="20"/>
                <w:szCs w:val="20"/>
                <w:color w:val="auto"/>
              </w:rPr>
            </w:pPr>
            <w:r>
              <w:rPr>
                <w:rFonts w:ascii="Times New Roman" w:cs="Times New Roman" w:eastAsia="Times New Roman" w:hAnsi="Times New Roman"/>
                <w:sz w:val="18"/>
                <w:szCs w:val="18"/>
                <w:color w:val="auto"/>
              </w:rPr>
              <w:t>Common stock, $0.0001 par value – 490,000,000 shares authorized; 61,758,454 and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rPr>
              <w:t xml:space="preserve">52,726,916 shares issued and outstanding, respectively </w:t>
            </w: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tcPr>
          <w:p>
            <w:pPr>
              <w:jc w:val="right"/>
              <w:ind w:right="8"/>
              <w:spacing w:after="0" w:line="221" w:lineRule="exact"/>
              <w:rPr>
                <w:sz w:val="20"/>
                <w:szCs w:val="20"/>
                <w:color w:val="auto"/>
              </w:rPr>
            </w:pPr>
            <w:r>
              <w:rPr>
                <w:rFonts w:ascii="Times New Roman" w:cs="Times New Roman" w:eastAsia="Times New Roman" w:hAnsi="Times New Roman"/>
                <w:sz w:val="18"/>
                <w:szCs w:val="18"/>
                <w:color w:val="auto"/>
                <w:w w:val="99"/>
              </w:rPr>
              <w:t xml:space="preserve">Additional paid-in capital </w:t>
            </w:r>
            <w:r>
              <w:rPr>
                <w:rFonts w:ascii="Times New Roman" w:cs="Times New Roman" w:eastAsia="Times New Roman" w:hAnsi="Times New Roman"/>
                <w:sz w:val="20"/>
                <w:szCs w:val="20"/>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w w:val="99"/>
              </w:rPr>
              <w:t>Accumulated deficit</w:t>
            </w:r>
            <w:r>
              <w:rPr>
                <w:rFonts w:ascii="Times New Roman" w:cs="Times New Roman" w:eastAsia="Times New Roman" w:hAnsi="Times New Roman"/>
                <w:sz w:val="20"/>
                <w:szCs w:val="20"/>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(1,558,705)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(1,328,738)</w:t>
            </w:r>
          </w:p>
        </w:tc>
        <w:tc>
          <w:tcPr>
            <w:tcW w:w="0" w:type="dxa"/>
            <w:vAlign w:val="bottom"/>
          </w:tcPr>
          <w:p>
            <w:pPr>
              <w:spacing w:after="0"/>
              <w:rPr>
                <w:sz w:val="1"/>
                <w:szCs w:val="1"/>
                <w:color w:val="auto"/>
              </w:rPr>
            </w:pPr>
          </w:p>
        </w:tc>
      </w:tr>
      <w:tr>
        <w:trPr>
          <w:trHeight w:val="216"/>
        </w:trPr>
        <w:tc>
          <w:tcPr>
            <w:tcW w:w="6780" w:type="dxa"/>
            <w:vAlign w:val="bottom"/>
          </w:tcPr>
          <w:p>
            <w:pPr>
              <w:jc w:val="right"/>
              <w:ind w:right="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Totalstockholders’equity</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jc w:val="right"/>
              <w:ind w:right="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Totalliabilitiesandstockholders’equity</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140"/>
          </w:cols>
          <w:pgMar w:left="1080" w:top="1056"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140"/>
          </w:cols>
          <w:pgMar w:left="1080" w:top="1056" w:right="1020" w:bottom="175" w:gutter="0" w:footer="0" w:header="0"/>
          <w:type w:val="continuous"/>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ind w:right="-19"/>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7"/>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80" w:type="dxa"/>
            <w:vAlign w:val="bottom"/>
          </w:tcPr>
          <w:p>
            <w:pPr>
              <w:jc w:val="right"/>
              <w:ind w:right="87"/>
              <w:spacing w:after="0" w:line="221"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0"/>
                <w:szCs w:val="20"/>
                <w:color w:val="auto"/>
              </w:rPr>
              <w:t>.......................................................................</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182,373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126,095</w:t>
            </w:r>
          </w:p>
        </w:tc>
        <w:tc>
          <w:tcPr>
            <w:tcW w:w="160" w:type="dxa"/>
            <w:vAlign w:val="bottom"/>
          </w:tcPr>
          <w:p>
            <w:pPr>
              <w:spacing w:after="0"/>
              <w:rPr>
                <w:sz w:val="19"/>
                <w:szCs w:val="19"/>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80" w:type="dxa"/>
            <w:vAlign w:val="bottom"/>
          </w:tcPr>
          <w:p>
            <w:pPr>
              <w:jc w:val="right"/>
              <w:ind w:right="87"/>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80" w:type="dxa"/>
            <w:vAlign w:val="bottom"/>
          </w:tcPr>
          <w:p>
            <w:pPr>
              <w:jc w:val="right"/>
              <w:ind w:right="87"/>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Totaloperatingexpenses</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234,388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80" w:type="dxa"/>
            <w:vAlign w:val="bottom"/>
          </w:tcPr>
          <w:p>
            <w:pPr>
              <w:jc w:val="right"/>
              <w:ind w:right="87"/>
              <w:spacing w:after="0" w:line="192"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Lossfromoperations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(234,388)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(186,849)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(277,321)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80" w:type="dxa"/>
            <w:vAlign w:val="bottom"/>
          </w:tcPr>
          <w:p>
            <w:pPr>
              <w:jc w:val="right"/>
              <w:ind w:right="87"/>
              <w:spacing w:after="0" w:line="221" w:lineRule="exact"/>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80" w:type="dxa"/>
            <w:vAlign w:val="bottom"/>
          </w:tcPr>
          <w:p>
            <w:pPr>
              <w:jc w:val="right"/>
              <w:ind w:right="87"/>
              <w:spacing w:after="0" w:line="221"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5"/>
        </w:trPr>
        <w:tc>
          <w:tcPr>
            <w:tcW w:w="5880" w:type="dxa"/>
            <w:vAlign w:val="bottom"/>
          </w:tcPr>
          <w:p>
            <w:pPr>
              <w:jc w:val="right"/>
              <w:ind w:right="87"/>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80" w:type="dxa"/>
            <w:vAlign w:val="bottom"/>
          </w:tcPr>
          <w:p>
            <w:pPr>
              <w:jc w:val="right"/>
              <w:ind w:right="87"/>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Netloss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(229,967)</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80" w:type="dxa"/>
            <w:vAlign w:val="bottom"/>
            <w:vMerge w:val="continue"/>
          </w:tcPr>
          <w:p>
            <w:pPr>
              <w:jc w:val="right"/>
              <w:ind w:right="87"/>
              <w:spacing w:after="0" w:line="167"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80" w:type="dxa"/>
            <w:vAlign w:val="bottom"/>
            <w:vMerge w:val="continue"/>
          </w:tcPr>
          <w:p>
            <w:pPr>
              <w:jc w:val="right"/>
              <w:ind w:right="87"/>
              <w:spacing w:after="0" w:line="167"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53,208,311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52,583,148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52,414,256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880" w:type="dxa"/>
            <w:vAlign w:val="bottom"/>
          </w:tcPr>
          <w:p>
            <w:pPr>
              <w:jc w:val="right"/>
              <w:ind w:right="2107"/>
              <w:spacing w:after="0" w:line="187" w:lineRule="exact"/>
              <w:rPr>
                <w:sz w:val="20"/>
                <w:szCs w:val="20"/>
                <w:color w:val="auto"/>
              </w:rPr>
            </w:pPr>
            <w:r>
              <w:rPr>
                <w:rFonts w:ascii="Times New Roman" w:cs="Times New Roman" w:eastAsia="Times New Roman" w:hAnsi="Times New Roman"/>
                <w:sz w:val="18"/>
                <w:szCs w:val="18"/>
                <w:color w:val="auto"/>
              </w:rPr>
              <w:t>Change in unrealized gains on available-for-sale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880" w:type="dxa"/>
            <w:vAlign w:val="bottom"/>
          </w:tcPr>
          <w:p>
            <w:pPr>
              <w:jc w:val="right"/>
              <w:ind w:right="87"/>
              <w:spacing w:after="0"/>
              <w:rPr>
                <w:sz w:val="20"/>
                <w:szCs w:val="20"/>
                <w:color w:val="auto"/>
              </w:rPr>
            </w:pPr>
            <w:r>
              <w:rPr>
                <w:rFonts w:ascii="Times New Roman" w:cs="Times New Roman" w:eastAsia="Times New Roman" w:hAnsi="Times New Roman"/>
                <w:sz w:val="18"/>
                <w:szCs w:val="18"/>
                <w:color w:val="auto"/>
              </w:rPr>
              <w:t xml:space="preserve">debt securities </w:t>
            </w: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80" w:type="dxa"/>
            <w:vAlign w:val="bottom"/>
          </w:tcPr>
          <w:p>
            <w:pPr>
              <w:jc w:val="right"/>
              <w:ind w:right="87"/>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Totalothercomprehensiveincome</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jc w:val="right"/>
              <w:ind w:right="87"/>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Comprehensiveloss</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(229,967)</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-2570480</wp:posOffset>
            </wp:positionV>
            <wp:extent cx="271272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2712720" cy="38100"/>
                    </a:xfrm>
                    <a:prstGeom prst="rect">
                      <a:avLst/>
                    </a:prstGeom>
                    <a:noFill/>
                  </pic:spPr>
                </pic:pic>
              </a:graphicData>
            </a:graphic>
          </wp:anchor>
        </w:drawing>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140"/>
          </w:cols>
          <w:pgMar w:left="1080" w:top="1056" w:right="10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140"/>
          </w:cols>
          <w:pgMar w:left="1080" w:top="1056" w:right="1020" w:bottom="175" w:gutter="0" w:footer="0" w:header="0"/>
          <w:type w:val="continuous"/>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ind w:left="4840"/>
        <w:spacing w:after="0" w:line="235" w:lineRule="auto"/>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6"/>
        </w:trPr>
        <w:tc>
          <w:tcPr>
            <w:tcW w:w="4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tcBorders>
              <w:bottom w:val="single" w:sz="8" w:color="auto"/>
            </w:tcBorders>
            <w:gridSpan w:val="5"/>
          </w:tcPr>
          <w:p>
            <w:pPr>
              <w:jc w:val="right"/>
              <w:ind w:right="50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4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77"/>
        </w:trPr>
        <w:tc>
          <w:tcPr>
            <w:tcW w:w="4280" w:type="dxa"/>
            <w:vAlign w:val="bottom"/>
            <w:gridSpan w:val="5"/>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52,333,850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tcBorders>
          </w:tcPr>
          <w:p>
            <w:pPr>
              <w:jc w:val="right"/>
              <w:ind w:right="883"/>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1,329,509</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tcBorders>
            <w:gridSpan w:val="4"/>
          </w:tcPr>
          <w:p>
            <w:pPr>
              <w:jc w:val="right"/>
              <w:ind w:right="60"/>
              <w:spacing w:after="0" w:line="177" w:lineRule="exact"/>
              <w:rPr>
                <w:sz w:val="20"/>
                <w:szCs w:val="20"/>
                <w:color w:val="auto"/>
              </w:rPr>
            </w:pPr>
            <w:r>
              <w:rPr>
                <w:rFonts w:ascii="Times New Roman" w:cs="Times New Roman" w:eastAsia="Times New Roman" w:hAnsi="Times New Roman"/>
                <w:sz w:val="18"/>
                <w:szCs w:val="18"/>
                <w:color w:val="auto"/>
              </w:rPr>
              <w:t>(1,307)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gridSpan w:val="4"/>
          </w:tcPr>
          <w:p>
            <w:pPr>
              <w:jc w:val="right"/>
              <w:ind w:right="60"/>
              <w:spacing w:after="0" w:line="177" w:lineRule="exact"/>
              <w:rPr>
                <w:sz w:val="20"/>
                <w:szCs w:val="20"/>
                <w:color w:val="auto"/>
              </w:rPr>
            </w:pPr>
            <w:r>
              <w:rPr>
                <w:rFonts w:ascii="Times New Roman" w:cs="Times New Roman" w:eastAsia="Times New Roman" w:hAnsi="Times New Roman"/>
                <w:sz w:val="18"/>
                <w:szCs w:val="18"/>
                <w:color w:val="auto"/>
              </w:rPr>
              <w:t>(892,040)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436,167</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Exercise of stock options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Restricted stock units vested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Proceeds from ESPP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Other comprehensive income</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2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(260,491)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(260,491)</w:t>
            </w:r>
          </w:p>
        </w:tc>
        <w:tc>
          <w:tcPr>
            <w:tcW w:w="0" w:type="dxa"/>
            <w:vAlign w:val="bottom"/>
          </w:tcPr>
          <w:p>
            <w:pPr>
              <w:spacing w:after="0"/>
              <w:rPr>
                <w:sz w:val="1"/>
                <w:szCs w:val="1"/>
                <w:color w:val="auto"/>
              </w:rPr>
            </w:pPr>
          </w:p>
        </w:tc>
      </w:tr>
      <w:tr>
        <w:trPr>
          <w:trHeight w:val="177"/>
        </w:trPr>
        <w:tc>
          <w:tcPr>
            <w:tcW w:w="4260" w:type="dxa"/>
            <w:vAlign w:val="bottom"/>
            <w:gridSpan w:val="4"/>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BalancesatDecember31,2023</w:t>
            </w:r>
          </w:p>
        </w:tc>
        <w:tc>
          <w:tcPr>
            <w:tcW w:w="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52,508,602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1,418,307</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right"/>
              <w:ind w:right="60"/>
              <w:spacing w:after="0" w:line="177"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right"/>
              <w:ind w:right="40"/>
              <w:spacing w:after="0" w:line="177" w:lineRule="exact"/>
              <w:rPr>
                <w:sz w:val="20"/>
                <w:szCs w:val="20"/>
                <w:color w:val="auto"/>
              </w:rPr>
            </w:pPr>
            <w:r>
              <w:rPr>
                <w:rFonts w:ascii="Times New Roman" w:cs="Times New Roman" w:eastAsia="Times New Roman" w:hAnsi="Times New Roman"/>
                <w:sz w:val="18"/>
                <w:szCs w:val="18"/>
                <w:color w:val="auto"/>
              </w:rPr>
              <w:t>(1,152,531)</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265,781</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Exercise of stock options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Restricted stock units vested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Proceeds from ESPP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2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(176,207)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(176,207)</w:t>
            </w:r>
          </w:p>
        </w:tc>
        <w:tc>
          <w:tcPr>
            <w:tcW w:w="0" w:type="dxa"/>
            <w:vAlign w:val="bottom"/>
          </w:tcPr>
          <w:p>
            <w:pPr>
              <w:spacing w:after="0"/>
              <w:rPr>
                <w:sz w:val="1"/>
                <w:szCs w:val="1"/>
                <w:color w:val="auto"/>
              </w:rPr>
            </w:pPr>
          </w:p>
        </w:tc>
      </w:tr>
      <w:tr>
        <w:trPr>
          <w:trHeight w:val="177"/>
        </w:trPr>
        <w:tc>
          <w:tcPr>
            <w:tcW w:w="4240" w:type="dxa"/>
            <w:vAlign w:val="bottom"/>
            <w:gridSpan w:val="3"/>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BalancesatDecember31,2024</w:t>
            </w:r>
          </w:p>
        </w:tc>
        <w:tc>
          <w:tcPr>
            <w:tcW w:w="40" w:type="dxa"/>
            <w:vAlign w:val="bottom"/>
            <w:tcBorders>
              <w:top w:val="single" w:sz="8" w:color="auto"/>
            </w:tcBorders>
            <w:gridSpan w:val="2"/>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52,726,916</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1,479,021</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right"/>
              <w:ind w:right="4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3"/>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20"/>
              <w:spacing w:after="0" w:line="177" w:lineRule="exact"/>
              <w:rPr>
                <w:sz w:val="20"/>
                <w:szCs w:val="20"/>
                <w:color w:val="auto"/>
              </w:rPr>
            </w:pPr>
            <w:r>
              <w:rPr>
                <w:rFonts w:ascii="Times New Roman" w:cs="Times New Roman" w:eastAsia="Times New Roman" w:hAnsi="Times New Roman"/>
                <w:sz w:val="18"/>
                <w:szCs w:val="18"/>
                <w:color w:val="auto"/>
              </w:rPr>
              <w:t>(1,328,738)</w:t>
            </w:r>
          </w:p>
        </w:tc>
        <w:tc>
          <w:tcPr>
            <w:tcW w:w="100" w:type="dxa"/>
            <w:vAlign w:val="bottom"/>
            <w:gridSpan w:val="3"/>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150,288</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Exercise of stock options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Proceeds from public offering, net of offering costs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Restricted stock units vested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 xml:space="preserve">Proceeds from ESPP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5"/>
          </w:tcPr>
          <w:p>
            <w:pPr>
              <w:jc w:val="right"/>
              <w:ind w:right="320"/>
              <w:spacing w:after="0" w:line="221"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2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(229,967)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(229,967)</w:t>
            </w:r>
          </w:p>
        </w:tc>
        <w:tc>
          <w:tcPr>
            <w:tcW w:w="0" w:type="dxa"/>
            <w:vAlign w:val="bottom"/>
          </w:tcPr>
          <w:p>
            <w:pPr>
              <w:spacing w:after="0"/>
              <w:rPr>
                <w:sz w:val="1"/>
                <w:szCs w:val="1"/>
                <w:color w:val="auto"/>
              </w:rPr>
            </w:pPr>
          </w:p>
        </w:tc>
      </w:tr>
      <w:tr>
        <w:trPr>
          <w:trHeight w:val="216"/>
        </w:trPr>
        <w:tc>
          <w:tcPr>
            <w:tcW w:w="422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BalancesatDecember31,2025</w:t>
            </w:r>
          </w:p>
        </w:tc>
        <w:tc>
          <w:tcPr>
            <w:tcW w:w="60" w:type="dxa"/>
            <w:vAlign w:val="bottom"/>
            <w:tcBorders>
              <w:top w:val="single" w:sz="8" w:color="auto"/>
            </w:tcBorders>
            <w:gridSpan w:val="3"/>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61,758,454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5"/>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(1,558,705)</w:t>
            </w:r>
          </w:p>
        </w:tc>
        <w:tc>
          <w:tcPr>
            <w:tcW w:w="12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5840" w:h="12240" w:orient="landscape"/>
          <w:cols w:equalWidth="0" w:num="1">
            <w:col w:w="13740"/>
          </w:cols>
          <w:pgMar w:left="1080" w:top="1024" w:right="102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5840" w:h="12240" w:orient="landscape"/>
          <w:cols w:equalWidth="0" w:num="1">
            <w:col w:w="13740"/>
          </w:cols>
          <w:pgMar w:left="1080" w:top="1024" w:right="1020" w:bottom="207"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7"/>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w w:val="99"/>
              </w:rPr>
              <w:t>Net loss</w:t>
            </w:r>
            <w:r>
              <w:rPr>
                <w:rFonts w:ascii="Times New Roman" w:cs="Times New Roman" w:eastAsia="Times New Roman" w:hAnsi="Times New Roman"/>
                <w:sz w:val="20"/>
                <w:szCs w:val="20"/>
                <w:color w:val="auto"/>
                <w:w w:val="99"/>
              </w:rPr>
              <w:t>........................................................................................................</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(229,967)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(176,207)</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(260,491)</w:t>
            </w:r>
          </w:p>
        </w:tc>
        <w:tc>
          <w:tcPr>
            <w:tcW w:w="0" w:type="dxa"/>
            <w:vAlign w:val="bottom"/>
          </w:tcPr>
          <w:p>
            <w:pPr>
              <w:spacing w:after="0"/>
              <w:rPr>
                <w:sz w:val="1"/>
                <w:szCs w:val="1"/>
                <w:color w:val="auto"/>
              </w:rPr>
            </w:pPr>
          </w:p>
        </w:tc>
      </w:tr>
      <w:tr>
        <w:trPr>
          <w:trHeight w:val="201"/>
        </w:trPr>
        <w:tc>
          <w:tcPr>
            <w:tcW w:w="5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 xml:space="preserve">Depreciation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 xml:space="preserve">Non-cash lease impairment expense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 xml:space="preserve">Net accretion of discount on marketable securities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 xml:space="preserve">Settlement of derivative contracts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 xml:space="preserve">Amortization of operating lease right-of-use asset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800" w:type="dxa"/>
            <w:vAlign w:val="bottom"/>
          </w:tcPr>
          <w:p>
            <w:pPr>
              <w:jc w:val="right"/>
              <w:ind w:right="3169"/>
              <w:spacing w:after="0" w:line="201" w:lineRule="exact"/>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 xml:space="preserve">Accrued and other current liabilities </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(12,907)</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rPr>
              <w:t>Operating lease liability</w:t>
            </w: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(11,165)</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0" w:type="dxa"/>
            <w:vAlign w:val="bottom"/>
          </w:tcPr>
          <w:p>
            <w:pPr>
              <w:spacing w:after="0"/>
              <w:rPr>
                <w:sz w:val="1"/>
                <w:szCs w:val="1"/>
                <w:color w:val="auto"/>
              </w:rPr>
            </w:pPr>
          </w:p>
        </w:tc>
      </w:tr>
      <w:tr>
        <w:trPr>
          <w:trHeight w:val="245"/>
        </w:trPr>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Long-term deposit</w:t>
            </w: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Netcashusedinoperatingactivities</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(136,008)</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Purchase of property and equipment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(41,350)</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Deposits on property and equipment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Purchase of marketable securities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(49,347)</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Maturities of marketable securities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Settlement of derivative contracts </w:t>
            </w:r>
            <w:r>
              <w:rPr>
                <w:rFonts w:ascii="Times New Roman" w:cs="Times New Roman" w:eastAsia="Times New Roman" w:hAnsi="Times New Roman"/>
                <w:sz w:val="20"/>
                <w:szCs w:val="20"/>
                <w:color w:val="auto"/>
                <w:w w:val="98"/>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Netcash(usedin)providedbyinvestingactivities</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Proceeds from public offering, net of underwriting discount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8"/>
              </w:rPr>
              <w:t xml:space="preserve">Proceeds from stock option exercises </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Proceeds from ESPP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Principal payments of tenant improvement allowance payable </w:t>
            </w: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Netcashprovidedbyfinancingactivities</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178,302</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0" w:type="dxa"/>
            <w:vAlign w:val="bottom"/>
          </w:tcPr>
          <w:p>
            <w:pPr>
              <w:jc w:val="right"/>
              <w:spacing w:after="0" w:line="192"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Netincrease(decrease)incash,cashequivalentsandrestrictedcash</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41,788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(117,573)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95,074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Cash, cash equivalents and restricted cash, at beginning of period </w:t>
            </w: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174,258</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Cash,cashequivalentsandrestrictedcash,atendofperiod</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216,046</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consolidated</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Cash and cash equivalents </w:t>
            </w:r>
            <w:r>
              <w:rPr>
                <w:rFonts w:ascii="Times New Roman" w:cs="Times New Roman" w:eastAsia="Times New Roman" w:hAnsi="Times New Roman"/>
                <w:sz w:val="20"/>
                <w:szCs w:val="20"/>
                <w:color w:val="auto"/>
                <w:w w:val="99"/>
              </w:rPr>
              <w:t>.............................................................................</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209,862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168,074</w:t>
            </w:r>
          </w:p>
        </w:tc>
        <w:tc>
          <w:tcPr>
            <w:tcW w:w="160" w:type="dxa"/>
            <w:vAlign w:val="bottom"/>
          </w:tcPr>
          <w:p>
            <w:pPr>
              <w:spacing w:after="0"/>
              <w:rPr>
                <w:sz w:val="19"/>
                <w:szCs w:val="19"/>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Restricted cash </w:t>
            </w: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Totalcash,cashequivalentsandrestrictedcash</w:t>
            </w: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216,046</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Cash paid for interest </w:t>
            </w:r>
            <w:r>
              <w:rPr>
                <w:rFonts w:ascii="Times New Roman" w:cs="Times New Roman" w:eastAsia="Times New Roman" w:hAnsi="Times New Roman"/>
                <w:sz w:val="20"/>
                <w:szCs w:val="20"/>
                <w:color w:val="auto"/>
                <w:w w:val="99"/>
              </w:rPr>
              <w:t>....................................................................................</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Purchase of property and equipment under accounts payable and accruals</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Reclassification of deposits to property and equipment</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jc w:val="right"/>
              <w:spacing w:after="0" w:line="221" w:lineRule="exact"/>
              <w:rPr>
                <w:sz w:val="20"/>
                <w:szCs w:val="20"/>
                <w:color w:val="auto"/>
              </w:rPr>
            </w:pPr>
            <w:r>
              <w:rPr>
                <w:rFonts w:ascii="Times New Roman" w:cs="Times New Roman" w:eastAsia="Times New Roman" w:hAnsi="Times New Roman"/>
                <w:sz w:val="18"/>
                <w:szCs w:val="18"/>
                <w:color w:val="auto"/>
                <w:w w:val="99"/>
              </w:rPr>
              <w:t xml:space="preserve">Unpaid offering costs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Cash in-transit for stock option exercises </w:t>
            </w:r>
            <w:r>
              <w:rPr>
                <w:rFonts w:ascii="Times New Roman" w:cs="Times New Roman" w:eastAsia="Times New Roman" w:hAnsi="Times New Roman"/>
                <w:sz w:val="20"/>
                <w:szCs w:val="20"/>
                <w:color w:val="auto"/>
                <w:w w:val="99"/>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-6903720</wp:posOffset>
            </wp:positionV>
            <wp:extent cx="275272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2752725" cy="3810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160"/>
          </w:cols>
          <w:pgMar w:left="1080" w:top="105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160"/>
          </w:cols>
          <w:pgMar w:left="1080" w:top="1056" w:right="1000" w:bottom="175" w:gutter="0" w:footer="0" w:header="0"/>
          <w:type w:val="continuous"/>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The Company</w:t>
      </w:r>
    </w:p>
    <w:p>
      <w:pPr>
        <w:spacing w:after="0" w:line="124"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auto"/>
        </w:rPr>
        <w:t>Kodiak Sciences Inc. (the “Company”) is a precommercial retina focused biotechnology company committed to researching, developing and commercializing transformative therapeutics. The Company devotes substantially all of its resources to the research and development of its platform and product candidates including activities to conduct clinical studies of its product candidates, manufacture product candidates and provide general and administrative support for these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2025, the Company had cash and cash equivalents of $209.9 million. The Company has incurred net losses and negative cash flows from operations since inception. The Company has incurred net losses of $230.0 million, $176.2 million and $260.5 million for the years ended December 31, 2025, 2024 and 2023, respectively. Net cash used in operating activities was $136.0 million, $117.3 million and $154.2 million for the years ended December 31, 2025, 2024 and 2023, respectively.</w:t>
      </w:r>
    </w:p>
    <w:p>
      <w:pPr>
        <w:spacing w:after="0" w:line="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 has historically funded its operations primarily through the issuance of common stock and the sale of future royalties. The Company’s ability to achieve and sustain profitability will depend on the successful development, approval and commercialization of its product candidates and on the achievement of sufficient revenue to support its cost structure and, unless and until it does, the Company will need to raise additional capital to maintain current operations and to continue research and development activities. The Company continues to monitor and reduce certain expenditures and plans to raise additional capital through approaches that include equity or debt financings, collaborations or a combination of similar transactions. While the Company has been able to raise multiple rounds of financing, there can be no assurance that such financing will be available in the future on terms which are favorable or at all. The Company could be required to pause, scale back or discontinue one or more of its development programs, which could adversely affect the Company’s business, financial condition and results of operations.</w:t>
      </w:r>
    </w:p>
    <w:p>
      <w:pPr>
        <w:spacing w:after="0" w:line="8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Company believes that the existing cash and cash equivalents may not be sufficient to meet the anticipated operating and capital expenditure requirements for the 12 months following the date of this Annual Report on Form 10-K. As a result, there is substantial doubt regarding the Company's ability to continue as a going concern. The consolidated financial statements have been prepared assuming that the Company will continue to operate as a going concern, which contemplates the realization of assets and satisfaction of liabilities and commitments in the ordinary course of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Public Offering</w:t>
      </w:r>
    </w:p>
    <w:p>
      <w:pPr>
        <w:spacing w:after="0" w:line="120"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auto"/>
        </w:rPr>
        <w:t>In December 2025, the Company completed an equity offering in which it issued and sold 8,000,000 shares of common stock at a public offering price of $23.00 per share. Net proceeds were $173.0 million after the underwriting discount.</w:t>
      </w:r>
    </w:p>
    <w:p>
      <w:pPr>
        <w:spacing w:after="0" w:line="141" w:lineRule="exact"/>
        <w:rPr>
          <w:sz w:val="20"/>
          <w:szCs w:val="20"/>
          <w:color w:val="auto"/>
        </w:rPr>
      </w:pPr>
    </w:p>
    <w:p>
      <w:pPr>
        <w:ind w:right="6100"/>
        <w:spacing w:after="0" w:line="367" w:lineRule="auto"/>
        <w:tabs>
          <w:tab w:leader="none" w:pos="20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1"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accounting principles generally accepted in the United States (“US GAAP”) and the applicable rules and regulations of the Securities and Exchange Commission ("SEC") regarding annual reporting. The consolidated financial statements include the accounts of Kodiak Sciences Inc. and its subsidiaries. All intercompany balances and transactions have been eliminated in consolidation. The functional and reporting currency of the Company and its subsidiaries is the U.S. dollar. The aggregate foreign currency transaction gain (loss) included in determining net loss was $(1.0) million, $0.3 million, and $(0.1) million for the years ended December 31, 2025, 2024 and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18"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and stock-based compensation. Actual results could differ from those estimates.</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060"/>
          </w:cols>
          <w:pgMar w:left="1080" w:top="1056" w:right="1100" w:bottom="175" w:gutter="0" w:footer="0" w:header="0"/>
          <w:type w:val="continuous"/>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Global economic and business activities continue to face widespread macroeconomic uncertainties, including health epidemics, labor shortages, bank failures, inflation and monetary supply shifts, tariffs,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and vendors.</w:t>
      </w:r>
    </w:p>
    <w:p>
      <w:pPr>
        <w:spacing w:after="0" w:line="8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spacing w:after="0" w:line="8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18"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of cash and cash equivalents. As of December 31, 2025, cash and cash equivalents were invested primarily in money market funds through highly rated financial institutions.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8" w:lineRule="exact"/>
        <w:rPr>
          <w:sz w:val="20"/>
          <w:szCs w:val="20"/>
          <w:color w:val="auto"/>
        </w:rPr>
      </w:pPr>
    </w:p>
    <w:p>
      <w:pPr>
        <w:ind w:right="520" w:firstLine="490"/>
        <w:spacing w:after="0" w:line="258" w:lineRule="auto"/>
        <w:rPr>
          <w:sz w:val="20"/>
          <w:szCs w:val="20"/>
          <w:color w:val="auto"/>
        </w:rPr>
      </w:pPr>
      <w:r>
        <w:rPr>
          <w:rFonts w:ascii="Times New Roman" w:cs="Times New Roman" w:eastAsia="Times New Roman" w:hAnsi="Times New Roman"/>
          <w:sz w:val="20"/>
          <w:szCs w:val="20"/>
          <w:color w:val="auto"/>
        </w:rPr>
        <w:t>All highly liquid investments with maturities of three months or less at the date of purchase are treated as cash equivalents. Cash equivalents consists principally of money market funds. These investments are carried at cost, which approximates market value (Note 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2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 Company had $6.2 million of long-term restricted cash deposited with financial institutions. The entire amount is held in separate bank accounts to support letter of credit agreements related to the Company’s U.S. corporate office leases.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Derivatives and Hedging</w:t>
      </w:r>
    </w:p>
    <w:p>
      <w:pPr>
        <w:spacing w:after="0" w:line="12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Derivative instruments that do not qualify for hedge accounting are recorded at fair value, with changes in fair value recognized in the consolidated statement of operations and comprehensive loss as a component of other income (expense), net. Cash flows associated with these derivatives are reflected as cash flows from investing activities in the consolidated statement of cash flows.</w:t>
      </w:r>
    </w:p>
    <w:p>
      <w:pPr>
        <w:sectPr>
          <w:pgSz w:w="12240" w:h="15840" w:orient="portrait"/>
          <w:cols w:equalWidth="0" w:num="1">
            <w:col w:w="10040"/>
          </w:cols>
          <w:pgMar w:left="1080" w:top="717"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040"/>
          </w:cols>
          <w:pgMar w:left="1080" w:top="717" w:right="1120" w:bottom="175"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Fair value is estimated by applying the following three-level hierarchy, which prioritizes the inputs used to measure fair value based on the lowest level of input that is available and significant to the fair value measurement:</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Level 1</w:t>
      </w:r>
      <w:r>
        <w:rPr>
          <w:rFonts w:ascii="Times New Roman" w:cs="Times New Roman" w:eastAsia="Times New Roman" w:hAnsi="Times New Roman"/>
          <w:sz w:val="20"/>
          <w:szCs w:val="20"/>
          <w:color w:val="auto"/>
        </w:rPr>
        <w:t>—Quoted prices in active markets for identical assets or liabilities.</w:t>
      </w:r>
    </w:p>
    <w:p>
      <w:pPr>
        <w:spacing w:after="0" w:line="120" w:lineRule="exact"/>
        <w:rPr>
          <w:sz w:val="20"/>
          <w:szCs w:val="20"/>
          <w:color w:val="auto"/>
        </w:rPr>
      </w:pPr>
    </w:p>
    <w:p>
      <w:pPr>
        <w:ind w:right="120" w:firstLine="489"/>
        <w:spacing w:after="0" w:line="258" w:lineRule="auto"/>
        <w:rPr>
          <w:sz w:val="20"/>
          <w:szCs w:val="20"/>
          <w:color w:val="auto"/>
        </w:rPr>
      </w:pPr>
      <w:r>
        <w:rPr>
          <w:rFonts w:ascii="Times New Roman" w:cs="Times New Roman" w:eastAsia="Times New Roman" w:hAnsi="Times New Roman"/>
          <w:sz w:val="20"/>
          <w:szCs w:val="20"/>
          <w:i w:val="1"/>
          <w:iCs w:val="1"/>
          <w:color w:val="auto"/>
        </w:rPr>
        <w:t>Level 2</w:t>
      </w:r>
      <w:r>
        <w:rPr>
          <w:rFonts w:ascii="Times New Roman" w:cs="Times New Roman" w:eastAsia="Times New Roman" w:hAnsi="Times New Roman"/>
          <w:sz w:val="20"/>
          <w:szCs w:val="20"/>
          <w:color w:val="auto"/>
        </w:rPr>
        <w:t>—Observable inputs other than quoted prices in active markets for identical assets and liabilities, quoted prices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identical or similar assets or liabilities in inactive markets, or other inputs that are observable or can be corroborated by observable market data for substantially the full term of the assets or liabilities.</w:t>
      </w:r>
    </w:p>
    <w:p>
      <w:pPr>
        <w:spacing w:after="0" w:line="68" w:lineRule="exact"/>
        <w:rPr>
          <w:sz w:val="20"/>
          <w:szCs w:val="20"/>
          <w:color w:val="auto"/>
        </w:rPr>
      </w:pPr>
    </w:p>
    <w:p>
      <w:pPr>
        <w:ind w:right="600" w:firstLine="489"/>
        <w:spacing w:after="0" w:line="277" w:lineRule="auto"/>
        <w:rPr>
          <w:sz w:val="20"/>
          <w:szCs w:val="20"/>
          <w:color w:val="auto"/>
        </w:rPr>
      </w:pPr>
      <w:r>
        <w:rPr>
          <w:rFonts w:ascii="Times New Roman" w:cs="Times New Roman" w:eastAsia="Times New Roman" w:hAnsi="Times New Roman"/>
          <w:sz w:val="20"/>
          <w:szCs w:val="20"/>
          <w:i w:val="1"/>
          <w:iCs w:val="1"/>
          <w:color w:val="auto"/>
        </w:rPr>
        <w:t>Level 3</w:t>
      </w:r>
      <w:r>
        <w:rPr>
          <w:rFonts w:ascii="Times New Roman" w:cs="Times New Roman" w:eastAsia="Times New Roman" w:hAnsi="Times New Roman"/>
          <w:sz w:val="20"/>
          <w:szCs w:val="20"/>
          <w:color w:val="auto"/>
        </w:rPr>
        <w:t>—Inputs that are generally unobservable and typically reflect management's estimate of assumptions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participants would use in pricing the asset or liability.</w:t>
      </w:r>
    </w:p>
    <w:p>
      <w:pPr>
        <w:spacing w:after="0" w:line="49"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Cash and cash equivalents are classified within Level 1 of the fair value hierarchy because their fair values are derived from quoted market prices. The Company’s financial instruments consisting of prepaid expenses and other current assets, accounts payable and accrued liabilities and other current liabilities, approximate fair value due to their relatively short maturities.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1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The Company determines if an arrangement is or contains a lease at inception, and categorizes each lease as either an operating or finance lease. All lease obligations as of December 31, 2025 were operating leases. The Company combines and accounts for lease and nonlease components as a single lease component. For leases with a term greater than 12 months, right-of-use assets and lease liabilities are recognized based on the present value of fixed lease payments. The Company's leases do not provide an implicit rate, thus the Company uses its incremental borrowing rate based on the estimated rate of interest for collateralized borrowing over a similar term of the lease payments at commencement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17"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Property and equipment are stated at cost, net of accumulated depreciation, and are depreciated on a straight-line basis over the estimated useful lives of the related assets. Construction in process assets consist primarily of manufacturing and laboratory equipment that have not yet been placed in service. Once the assets are placed into service, they are reclassified to the appropriate asset class and depreciated. Estimated useful lives of each asset category generally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Asset Category</w:t>
            </w:r>
          </w:p>
        </w:tc>
        <w:tc>
          <w:tcPr>
            <w:tcW w:w="240" w:type="dxa"/>
            <w:vAlign w:val="bottom"/>
          </w:tcPr>
          <w:p>
            <w:pPr>
              <w:spacing w:after="0"/>
              <w:rPr>
                <w:sz w:val="22"/>
                <w:szCs w:val="22"/>
                <w:color w:val="auto"/>
              </w:rPr>
            </w:pPr>
          </w:p>
        </w:tc>
        <w:tc>
          <w:tcPr>
            <w:tcW w:w="622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20"/>
                <w:szCs w:val="20"/>
                <w:b w:val="1"/>
                <w:bCs w:val="1"/>
                <w:color w:val="auto"/>
              </w:rPr>
              <w:t>Useful Lives</w:t>
            </w:r>
          </w:p>
        </w:tc>
      </w:tr>
      <w:tr>
        <w:trPr>
          <w:trHeight w:val="205"/>
        </w:trPr>
        <w:tc>
          <w:tcPr>
            <w:tcW w:w="36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Furniture and Fixtures</w:t>
            </w:r>
          </w:p>
        </w:tc>
        <w:tc>
          <w:tcPr>
            <w:tcW w:w="240" w:type="dxa"/>
            <w:vAlign w:val="bottom"/>
          </w:tcPr>
          <w:p>
            <w:pPr>
              <w:spacing w:after="0"/>
              <w:rPr>
                <w:sz w:val="17"/>
                <w:szCs w:val="17"/>
                <w:color w:val="auto"/>
              </w:rPr>
            </w:pPr>
          </w:p>
        </w:tc>
        <w:tc>
          <w:tcPr>
            <w:tcW w:w="6220" w:type="dxa"/>
            <w:vAlign w:val="bottom"/>
          </w:tcPr>
          <w:p>
            <w:pPr>
              <w:ind w:left="60"/>
              <w:spacing w:after="0" w:line="206" w:lineRule="exact"/>
              <w:rPr>
                <w:sz w:val="20"/>
                <w:szCs w:val="20"/>
                <w:color w:val="auto"/>
              </w:rPr>
            </w:pPr>
            <w:r>
              <w:rPr>
                <w:rFonts w:ascii="Times New Roman" w:cs="Times New Roman" w:eastAsia="Times New Roman" w:hAnsi="Times New Roman"/>
                <w:sz w:val="20"/>
                <w:szCs w:val="20"/>
                <w:color w:val="auto"/>
              </w:rPr>
              <w:t>5 years</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240" w:type="dxa"/>
            <w:vAlign w:val="bottom"/>
          </w:tcPr>
          <w:p>
            <w:pPr>
              <w:spacing w:after="0"/>
              <w:rPr>
                <w:sz w:val="20"/>
                <w:szCs w:val="20"/>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 to 10 years</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 and Hardware</w:t>
            </w:r>
          </w:p>
        </w:tc>
        <w:tc>
          <w:tcPr>
            <w:tcW w:w="240" w:type="dxa"/>
            <w:vAlign w:val="bottom"/>
          </w:tcPr>
          <w:p>
            <w:pPr>
              <w:spacing w:after="0"/>
              <w:rPr>
                <w:sz w:val="20"/>
                <w:szCs w:val="20"/>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 to 5 years</w:t>
            </w:r>
          </w:p>
        </w:tc>
      </w:tr>
      <w:tr>
        <w:trPr>
          <w:trHeight w:val="266"/>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40" w:type="dxa"/>
            <w:vAlign w:val="bottom"/>
          </w:tcPr>
          <w:p>
            <w:pPr>
              <w:spacing w:after="0"/>
              <w:rPr>
                <w:sz w:val="23"/>
                <w:szCs w:val="23"/>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Lesser of the useful life or lease term</w:t>
            </w:r>
          </w:p>
        </w:tc>
      </w:tr>
    </w:tbl>
    <w:p>
      <w:pPr>
        <w:spacing w:after="0" w:line="194"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auto"/>
        </w:rPr>
        <w:t>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17"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 reviews long-lived assets for impairment whenever events or changes in circumstances indicate that the carrying amounts of the assets may not be recoverable. Recoverability is measured by comparing the carrying amount of the assets to the estimated undiscounted net cash flows which the assets are expected to generate. If such assets are deemed not recoverable, an impairment loss is recognized in the amount by which the carrying amount of the assets exceeds the estimated fair value of the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7"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depreciation and utilities.</w:t>
      </w:r>
    </w:p>
    <w:p>
      <w:pPr>
        <w:sectPr>
          <w:pgSz w:w="12240" w:h="15840" w:orient="portrait"/>
          <w:cols w:equalWidth="0" w:num="1">
            <w:col w:w="10080"/>
          </w:cols>
          <w:pgMar w:left="1080" w:top="717" w:right="1080" w:bottom="17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080"/>
          </w:cols>
          <w:pgMar w:left="1080" w:top="717" w:right="1080" w:bottom="175"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w:t>
      </w:r>
    </w:p>
    <w:p>
      <w:pPr>
        <w:spacing w:after="0" w:line="11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Company has entered into agreements with various third parties, including clinical investigator sites, contract research organizations (“CROs”) and contract manufacturing organizations (“CMOs”), to provide research and development activities. The Company’s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determines accrual estimates through reports from and discussions with clinical personnel and outside service providers as to the progress of trials, or the services completed. The estimated costs of research and development provided, but not yet invoiced, are included in accrued and other current liabilities on the consolidated balance sheet.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or other assets until the services are rendered.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The Company measures stock-based compensation expense for stock options and restricted stock units granted to its employees, directors and non-employees based on the estimated fair value of the awards on the grant date. Fair value of restricted stock unit awards are based on the closing market price of the Company's common stock on the date of grant. Fair value of options is calculated using the Black-Scholes option-pricing model, which requires the input of subjective assumptions, including (i) the calculation of expected term of the award, (ii) the expected stock price volatility, (iii) the risk-free interest rate, and (iv) expected dividends.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Expected term is determined based on hypothetical exercise data for unexercised stock options.</w:t>
      </w:r>
    </w:p>
    <w:p>
      <w:pPr>
        <w:spacing w:after="0" w:line="1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Expected volatility is estimated based on the Company's historical information for its common stock and supplemented by the historical stock price volatility of a representative peer group over a period equivalent to the expected term of the equity award.</w:t>
      </w:r>
    </w:p>
    <w:p>
      <w:pPr>
        <w:spacing w:after="0" w:line="68"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auto"/>
        </w:rPr>
        <w:t>Risk-free interest rate is estimated based on the U.S. Treasury securities with maturity dates commensurate with the expected term of the equity award.</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has never paid, and does not expect to pay, dividends in the foreseeable future.</w:t>
      </w:r>
    </w:p>
    <w:p>
      <w:pPr>
        <w:spacing w:after="0" w:line="120"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auto"/>
        </w:rPr>
        <w:t>Expense is recorded on a straight-line basis over the requisite service period, which is generally the vesting period, for the entire award. The Company accounts for forfeitures as they occur.</w:t>
      </w:r>
    </w:p>
    <w:p>
      <w:pPr>
        <w:spacing w:after="0" w:line="49"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The Company has certain stock options and restricted stock units that vest in conjunction with performance conditions. At each reporting date, the Company is required to evaluate whether achievement of the performance conditions is probable. Compensation expense is recorded over the appropriate service period based upon the Company's assessment of accomplishing each performance provision. See Note 11.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Liability related to Sale of Future Royalties</w:t>
      </w:r>
    </w:p>
    <w:p>
      <w:pPr>
        <w:spacing w:after="0" w:line="116" w:lineRule="exact"/>
        <w:rPr>
          <w:sz w:val="20"/>
          <w:szCs w:val="20"/>
          <w:color w:val="auto"/>
        </w:rPr>
      </w:pPr>
    </w:p>
    <w:p>
      <w:pPr>
        <w:jc w:val="both"/>
        <w:ind w:right="100" w:firstLine="490"/>
        <w:spacing w:after="0" w:line="278" w:lineRule="auto"/>
        <w:rPr>
          <w:sz w:val="20"/>
          <w:szCs w:val="20"/>
          <w:color w:val="auto"/>
        </w:rPr>
      </w:pPr>
      <w:r>
        <w:rPr>
          <w:rFonts w:ascii="Times New Roman" w:cs="Times New Roman" w:eastAsia="Times New Roman" w:hAnsi="Times New Roman"/>
          <w:sz w:val="19"/>
          <w:szCs w:val="19"/>
          <w:color w:val="auto"/>
        </w:rPr>
        <w:t>On December 1, 2019, the Company and its subsidiary Kodiak Sciences GmbH entered into a funding agreement with Baker Bros. Advisors, LP (“BBA”), which holds more than 5% of the Company’s stock, pursuant to which BBA purchased the right to receive a capped 4.5% royalty on future net sales of tarcocimab, the Company’s anti-VEGF antibody biopolymer</w:t>
      </w:r>
    </w:p>
    <w:p>
      <w:pPr>
        <w:sectPr>
          <w:pgSz w:w="12240" w:h="15840" w:orient="portrait"/>
          <w:cols w:equalWidth="0" w:num="1">
            <w:col w:w="10080"/>
          </w:cols>
          <w:pgMar w:left="1080" w:top="717" w:right="1080" w:bottom="175"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080"/>
          </w:cols>
          <w:pgMar w:left="1080" w:top="717" w:right="1080" w:bottom="175"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conjugate therapy, in exchange for $225 million. Under the terms of the funding agreement, there is no obligation to repay any funding amount received, other than through the capped royalty payments on future product revenues. The Company recorded the funding amount paid by BBA as a liability on the consolidated balance sheet net of issuance costs, in accordance with ASC 730, </w:t>
      </w:r>
      <w:r>
        <w:rPr>
          <w:rFonts w:ascii="Times New Roman" w:cs="Times New Roman" w:eastAsia="Times New Roman" w:hAnsi="Times New Roman"/>
          <w:sz w:val="20"/>
          <w:szCs w:val="20"/>
          <w:i w:val="1"/>
          <w:iCs w:val="1"/>
          <w:color w:val="auto"/>
        </w:rPr>
        <w:t>Research and Development</w:t>
      </w:r>
      <w:r>
        <w:rPr>
          <w:rFonts w:ascii="Times New Roman" w:cs="Times New Roman" w:eastAsia="Times New Roman" w:hAnsi="Times New Roman"/>
          <w:sz w:val="20"/>
          <w:szCs w:val="20"/>
          <w:color w:val="auto"/>
        </w:rPr>
        <w:t>. Under ASC 730, the significant related party relationship between the Company and BBA creates an implicit obligation to 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In July 2021, the funding agreement was amended, at the Company’s request, that the remaining funding amount of $125 million would not be paid, therefore the total funding received from BBA was $100 million. See Note 15.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20"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auto"/>
        </w:rPr>
        <w:t>Comprehensive loss is composed of net loss and other comprehensive income (loss). Other comprehensive income (loss) consists primarily of unrealized gains and losses on debt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Since the Company has reported net loss for all periods presented, diluted net loss per share is the same as basic net loss per common share for those periods.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From time to time, new accounting pronouncements are issued by the Financial Accounting Standards Board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(“FASB”), under its ASC or other standard setting bodies, and adopted by the Company as of the specified effective date.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Accounting Standards Update ("ASU") 2023-09, </w:t>
      </w:r>
      <w:r>
        <w:rPr>
          <w:rFonts w:ascii="Times New Roman" w:cs="Times New Roman" w:eastAsia="Times New Roman" w:hAnsi="Times New Roman"/>
          <w:sz w:val="20"/>
          <w:szCs w:val="20"/>
          <w:i w:val="1"/>
          <w:iCs w:val="1"/>
          <w:color w:val="auto"/>
        </w:rPr>
        <w:t>Income Taxes (Topic 740):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which requires public entities to disclose specific tax rate reconciliation categories,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well as income taxes paid disaggregated by jurisdiction, amongst other disclosure enhancements. The ASU is effective for annual periods beginning after December 15, 2024 and may be adopted on a prospective or retrospective basis. The Company adopted the ASU retrospectively in the current period ending December 31,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 Not Yet Adopted</w:t>
      </w:r>
    </w:p>
    <w:p>
      <w:pPr>
        <w:spacing w:after="0" w:line="118" w:lineRule="exact"/>
        <w:rPr>
          <w:sz w:val="20"/>
          <w:szCs w:val="20"/>
          <w:color w:val="auto"/>
        </w:rPr>
      </w:pPr>
    </w:p>
    <w:p>
      <w:pPr>
        <w:jc w:val="both"/>
        <w:ind w:right="360" w:firstLine="49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which requires additional disclosure of the nature of expenses included in the income statement. The ASU is effective for annual periods beginning after December 15, 2026 and interim periods within fiscal years beginning after December 15, 2027, and early adoption is permitted. The Company is assessing the impact of this standard on its consolidated financial statements and related disclosures.</w:t>
      </w:r>
    </w:p>
    <w:p>
      <w:pPr>
        <w:spacing w:after="0" w:line="77"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i w:val="1"/>
          <w:iCs w:val="1"/>
          <w:color w:val="auto"/>
        </w:rPr>
        <w:t>Interim Reporting (Topic 270): Narrow Scope Improvements</w:t>
      </w:r>
      <w:r>
        <w:rPr>
          <w:rFonts w:ascii="Times New Roman" w:cs="Times New Roman" w:eastAsia="Times New Roman" w:hAnsi="Times New Roman"/>
          <w:sz w:val="20"/>
          <w:szCs w:val="20"/>
          <w:color w:val="auto"/>
        </w:rPr>
        <w:t>, which clarifies interim disclosure requirements and the applicability of Topic 270. The guidance will be effective for interim periods beginning January 1, 2028. Early adoption is permitted. Upon adoption, the guidance can be applied prospectively or retrospectively. The Company does not expect the adoption of this guidance to have a material impact on the consolidated financial statements.</w:t>
      </w:r>
    </w:p>
    <w:p>
      <w:pPr>
        <w:sectPr>
          <w:pgSz w:w="12240" w:h="15840" w:orient="portrait"/>
          <w:cols w:equalWidth="0" w:num="1">
            <w:col w:w="10080"/>
          </w:cols>
          <w:pgMar w:left="1080" w:top="717"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080"/>
          </w:cols>
          <w:pgMar w:left="1080" w:top="717" w:right="1080" w:bottom="175" w:gutter="0" w:footer="0" w:header="0"/>
          <w:type w:val="continuous"/>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Property and Equipment, net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Property and equipment, net consists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120" w:type="dxa"/>
            <w:vAlign w:val="bottom"/>
            <w:vMerge w:val="restart"/>
          </w:tcPr>
          <w:p>
            <w:pPr>
              <w:jc w:val="right"/>
              <w:ind w:right="4080"/>
              <w:spacing w:after="0"/>
              <w:rPr>
                <w:sz w:val="20"/>
                <w:szCs w:val="20"/>
                <w:color w:val="auto"/>
              </w:rPr>
            </w:pPr>
            <w:r>
              <w:rPr>
                <w:rFonts w:ascii="Times New Roman" w:cs="Times New Roman" w:eastAsia="Times New Roman" w:hAnsi="Times New Roman"/>
                <w:sz w:val="20"/>
                <w:szCs w:val="20"/>
                <w:color w:val="auto"/>
                <w:w w:val="99"/>
              </w:rPr>
              <w:t>Leasehold improvement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20" w:type="dxa"/>
            <w:vAlign w:val="bottom"/>
            <w:vMerge w:val="continue"/>
          </w:tcPr>
          <w:p>
            <w:pPr>
              <w:jc w:val="right"/>
              <w:ind w:right="1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96,514</w:t>
            </w:r>
          </w:p>
        </w:tc>
        <w:tc>
          <w:tcPr>
            <w:tcW w:w="300" w:type="dxa"/>
            <w:vAlign w:val="bottom"/>
          </w:tcPr>
          <w:p>
            <w:pPr>
              <w:spacing w:after="0"/>
              <w:rPr>
                <w:sz w:val="20"/>
                <w:szCs w:val="20"/>
                <w:color w:val="auto"/>
              </w:rPr>
            </w:pPr>
          </w:p>
        </w:tc>
        <w:tc>
          <w:tcPr>
            <w:tcW w:w="5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Machinery and equipment ...........................................................................</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40,671</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Furniture and fixtures ..................................................................................</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2,042</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Computer software and hardware................................................................</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Construction in progress ..............................................................................</w:t>
            </w:r>
          </w:p>
        </w:tc>
        <w:tc>
          <w:tcPr>
            <w:tcW w:w="1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5,157</w:t>
            </w:r>
          </w:p>
        </w:tc>
        <w:tc>
          <w:tcPr>
            <w:tcW w:w="3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.....................................................................Totalpropertyandequipment</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144,730</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Less: Accumulated depreciation..................................................................</w:t>
            </w:r>
          </w:p>
        </w:tc>
        <w:tc>
          <w:tcPr>
            <w:tcW w:w="11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(59,472)</w:t>
            </w:r>
          </w:p>
        </w:tc>
        <w:tc>
          <w:tcPr>
            <w:tcW w:w="5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(41,262)</w:t>
            </w:r>
          </w:p>
        </w:tc>
        <w:tc>
          <w:tcPr>
            <w:tcW w:w="0" w:type="dxa"/>
            <w:vAlign w:val="bottom"/>
          </w:tcPr>
          <w:p>
            <w:pPr>
              <w:spacing w:after="0"/>
              <w:rPr>
                <w:sz w:val="1"/>
                <w:szCs w:val="1"/>
                <w:color w:val="auto"/>
              </w:rPr>
            </w:pPr>
          </w:p>
        </w:tc>
      </w:tr>
      <w:tr>
        <w:trPr>
          <w:trHeight w:val="239"/>
        </w:trPr>
        <w:tc>
          <w:tcPr>
            <w:tcW w:w="61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...............................................................Totalpropertyandequipment,net</w:t>
            </w:r>
          </w:p>
        </w:tc>
        <w:tc>
          <w:tcPr>
            <w:tcW w:w="1120" w:type="dxa"/>
            <w:vAlign w:val="bottom"/>
            <w:tcBorders>
              <w:top w:val="single" w:sz="8" w:color="auto"/>
              <w:bottom w:val="single" w:sz="8" w:color="auto"/>
            </w:tcBorders>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85,258</w:t>
            </w:r>
          </w:p>
        </w:tc>
        <w:tc>
          <w:tcPr>
            <w:tcW w:w="3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102,222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The Company's property and equipment are maintained in the United States and Switzerland with net book values of $32.1 million and $53.2 million, respectively, as of December 31, 2025 compared to $35.6 million and $66.6 million, respectively, as of December 31, 2024. Depreciation expense was $18.3 million and $18.7 million for the years ended December 31, 2025 and 2024,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Accrued and Other Current Liabilities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Accrued and other current liabilities consist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220" w:type="dxa"/>
            <w:vAlign w:val="bottom"/>
            <w:vMerge w:val="restart"/>
          </w:tcPr>
          <w:p>
            <w:pPr>
              <w:jc w:val="right"/>
              <w:ind w:right="3760"/>
              <w:spacing w:after="0"/>
              <w:rPr>
                <w:sz w:val="20"/>
                <w:szCs w:val="20"/>
                <w:color w:val="auto"/>
              </w:rPr>
            </w:pPr>
            <w:r>
              <w:rPr>
                <w:rFonts w:ascii="Times New Roman" w:cs="Times New Roman" w:eastAsia="Times New Roman" w:hAnsi="Times New Roman"/>
                <w:sz w:val="20"/>
                <w:szCs w:val="20"/>
                <w:color w:val="auto"/>
                <w:w w:val="99"/>
              </w:rPr>
              <w:t>Accrued salaries and benefits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34"/>
        </w:trPr>
        <w:tc>
          <w:tcPr>
            <w:tcW w:w="6220" w:type="dxa"/>
            <w:vAlign w:val="bottom"/>
            <w:vMerge w:val="continue"/>
          </w:tcPr>
          <w:p>
            <w:pPr>
              <w:jc w:val="right"/>
              <w:ind w:right="1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7,770</w:t>
            </w:r>
          </w:p>
        </w:tc>
        <w:tc>
          <w:tcPr>
            <w:tcW w:w="300" w:type="dxa"/>
            <w:vAlign w:val="bottom"/>
          </w:tcPr>
          <w:p>
            <w:pPr>
              <w:spacing w:after="0"/>
              <w:rPr>
                <w:sz w:val="20"/>
                <w:szCs w:val="20"/>
                <w:color w:val="auto"/>
              </w:rPr>
            </w:pP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5,266</w:t>
            </w:r>
          </w:p>
        </w:tc>
        <w:tc>
          <w:tcPr>
            <w:tcW w:w="0" w:type="dxa"/>
            <w:vAlign w:val="bottom"/>
          </w:tcPr>
          <w:p>
            <w:pPr>
              <w:spacing w:after="0"/>
              <w:rPr>
                <w:sz w:val="1"/>
                <w:szCs w:val="1"/>
                <w:color w:val="auto"/>
              </w:rPr>
            </w:pPr>
          </w:p>
        </w:tc>
      </w:tr>
      <w:tr>
        <w:trPr>
          <w:trHeight w:val="244"/>
        </w:trPr>
        <w:tc>
          <w:tcPr>
            <w:tcW w:w="6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Accrued manufacturing and research &amp; development costs .........................</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6,238</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2,148</w:t>
            </w:r>
          </w:p>
        </w:tc>
        <w:tc>
          <w:tcPr>
            <w:tcW w:w="0" w:type="dxa"/>
            <w:vAlign w:val="bottom"/>
          </w:tcPr>
          <w:p>
            <w:pPr>
              <w:spacing w:after="0"/>
              <w:rPr>
                <w:sz w:val="1"/>
                <w:szCs w:val="1"/>
                <w:color w:val="auto"/>
              </w:rPr>
            </w:pPr>
          </w:p>
        </w:tc>
      </w:tr>
      <w:tr>
        <w:trPr>
          <w:trHeight w:val="244"/>
        </w:trPr>
        <w:tc>
          <w:tcPr>
            <w:tcW w:w="6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Accrued clinical trial and related costs..........................................................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4,494</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2,803</w:t>
            </w:r>
          </w:p>
        </w:tc>
        <w:tc>
          <w:tcPr>
            <w:tcW w:w="0" w:type="dxa"/>
            <w:vAlign w:val="bottom"/>
          </w:tcPr>
          <w:p>
            <w:pPr>
              <w:spacing w:after="0"/>
              <w:rPr>
                <w:sz w:val="1"/>
                <w:szCs w:val="1"/>
                <w:color w:val="auto"/>
              </w:rPr>
            </w:pPr>
          </w:p>
        </w:tc>
      </w:tr>
      <w:tr>
        <w:trPr>
          <w:trHeight w:val="244"/>
        </w:trPr>
        <w:tc>
          <w:tcPr>
            <w:tcW w:w="6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Accrued legal fees and professional fees.......................................................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0" w:type="dxa"/>
            <w:vAlign w:val="bottom"/>
          </w:tcPr>
          <w:p>
            <w:pPr>
              <w:spacing w:after="0"/>
              <w:rPr>
                <w:sz w:val="1"/>
                <w:szCs w:val="1"/>
                <w:color w:val="auto"/>
              </w:rPr>
            </w:pPr>
          </w:p>
        </w:tc>
      </w:tr>
      <w:tr>
        <w:trPr>
          <w:trHeight w:val="249"/>
        </w:trPr>
        <w:tc>
          <w:tcPr>
            <w:tcW w:w="6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Accrued other liabilities ................................................................................</w:t>
            </w: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w:t>
            </w:r>
          </w:p>
        </w:tc>
        <w:tc>
          <w:tcPr>
            <w:tcW w:w="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0" w:type="dxa"/>
            <w:vAlign w:val="bottom"/>
          </w:tcPr>
          <w:p>
            <w:pPr>
              <w:spacing w:after="0"/>
              <w:rPr>
                <w:sz w:val="1"/>
                <w:szCs w:val="1"/>
                <w:color w:val="auto"/>
              </w:rPr>
            </w:pPr>
          </w:p>
        </w:tc>
      </w:tr>
      <w:tr>
        <w:trPr>
          <w:trHeight w:val="239"/>
        </w:trPr>
        <w:tc>
          <w:tcPr>
            <w:tcW w:w="6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...................................................Totalaccruedandothercurrentliabilities</w:t>
            </w:r>
          </w:p>
        </w:tc>
        <w:tc>
          <w:tcPr>
            <w:tcW w:w="112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20,607</w:t>
            </w:r>
          </w:p>
        </w:tc>
        <w:tc>
          <w:tcPr>
            <w:tcW w:w="300" w:type="dxa"/>
            <w:vAlign w:val="bottom"/>
          </w:tcPr>
          <w:p>
            <w:pPr>
              <w:spacing w:after="0"/>
              <w:rPr>
                <w:sz w:val="20"/>
                <w:szCs w:val="20"/>
                <w:color w:val="auto"/>
              </w:rPr>
            </w:pPr>
          </w:p>
        </w:tc>
        <w:tc>
          <w:tcPr>
            <w:tcW w:w="5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11,030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Measurements</w:t>
      </w:r>
    </w:p>
    <w:p>
      <w:pPr>
        <w:spacing w:after="0" w:line="124"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tables present the Company’s fair value hierarchy for assets measured at fair value on a recurring basis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20" w:type="dxa"/>
            <w:vAlign w:val="bottom"/>
            <w:gridSpan w:val="10"/>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Fair Value Measurements at December 31, 2025</w:t>
            </w:r>
          </w:p>
        </w:tc>
        <w:tc>
          <w:tcPr>
            <w:tcW w:w="0" w:type="dxa"/>
            <w:vAlign w:val="bottom"/>
          </w:tcPr>
          <w:p>
            <w:pPr>
              <w:spacing w:after="0"/>
              <w:rPr>
                <w:sz w:val="1"/>
                <w:szCs w:val="1"/>
                <w:color w:val="auto"/>
              </w:rPr>
            </w:pPr>
          </w:p>
        </w:tc>
      </w:tr>
      <w:tr>
        <w:trPr>
          <w:trHeight w:val="253"/>
        </w:trPr>
        <w:tc>
          <w:tcPr>
            <w:tcW w:w="4960" w:type="dxa"/>
            <w:vAlign w:val="bottom"/>
            <w:vMerge w:val="restart"/>
          </w:tcPr>
          <w:p>
            <w:pPr>
              <w:jc w:val="right"/>
              <w:ind w:right="3440"/>
              <w:spacing w:after="0"/>
              <w:rPr>
                <w:sz w:val="20"/>
                <w:szCs w:val="20"/>
                <w:color w:val="auto"/>
              </w:rPr>
            </w:pPr>
            <w:r>
              <w:rPr>
                <w:rFonts w:ascii="Times New Roman" w:cs="Times New Roman" w:eastAsia="Times New Roman" w:hAnsi="Times New Roman"/>
                <w:sz w:val="20"/>
                <w:szCs w:val="20"/>
                <w:color w:val="auto"/>
                <w:w w:val="98"/>
              </w:rPr>
              <w:t>Cash equivalents: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4"/>
        </w:trPr>
        <w:tc>
          <w:tcPr>
            <w:tcW w:w="4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Money market funds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207,585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207,585</w:t>
            </w:r>
          </w:p>
        </w:tc>
        <w:tc>
          <w:tcPr>
            <w:tcW w:w="0" w:type="dxa"/>
            <w:vAlign w:val="bottom"/>
          </w:tcPr>
          <w:p>
            <w:pPr>
              <w:spacing w:after="0"/>
              <w:rPr>
                <w:sz w:val="1"/>
                <w:szCs w:val="1"/>
                <w:color w:val="auto"/>
              </w:rPr>
            </w:pPr>
          </w:p>
        </w:tc>
      </w:tr>
      <w:tr>
        <w:trPr>
          <w:trHeight w:val="234"/>
        </w:trPr>
        <w:tc>
          <w:tcPr>
            <w:tcW w:w="4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............................................................Totalcashequivalents</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207,585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207,585</w:t>
            </w:r>
          </w:p>
        </w:tc>
        <w:tc>
          <w:tcPr>
            <w:tcW w:w="0" w:type="dxa"/>
            <w:vAlign w:val="bottom"/>
          </w:tcPr>
          <w:p>
            <w:pPr>
              <w:spacing w:after="0"/>
              <w:rPr>
                <w:sz w:val="1"/>
                <w:szCs w:val="1"/>
                <w:color w:val="auto"/>
              </w:rPr>
            </w:pPr>
          </w:p>
        </w:tc>
      </w:tr>
      <w:tr>
        <w:trPr>
          <w:trHeight w:val="249"/>
        </w:trPr>
        <w:tc>
          <w:tcPr>
            <w:tcW w:w="4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2,277</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2,277</w:t>
            </w:r>
          </w:p>
        </w:tc>
        <w:tc>
          <w:tcPr>
            <w:tcW w:w="0" w:type="dxa"/>
            <w:vAlign w:val="bottom"/>
          </w:tcPr>
          <w:p>
            <w:pPr>
              <w:spacing w:after="0"/>
              <w:rPr>
                <w:sz w:val="1"/>
                <w:szCs w:val="1"/>
                <w:color w:val="auto"/>
              </w:rPr>
            </w:pPr>
          </w:p>
        </w:tc>
      </w:tr>
      <w:tr>
        <w:trPr>
          <w:trHeight w:val="239"/>
        </w:trPr>
        <w:tc>
          <w:tcPr>
            <w:tcW w:w="4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.............................................Totalcashandcashequivalents</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209,862</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209,862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-1009650</wp:posOffset>
            </wp:positionV>
            <wp:extent cx="319214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3192145" cy="3810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20" w:type="dxa"/>
            <w:vAlign w:val="bottom"/>
            <w:gridSpan w:val="10"/>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Fair Value Measurements at December 31, 2024</w:t>
            </w:r>
          </w:p>
        </w:tc>
        <w:tc>
          <w:tcPr>
            <w:tcW w:w="0" w:type="dxa"/>
            <w:vAlign w:val="bottom"/>
          </w:tcPr>
          <w:p>
            <w:pPr>
              <w:spacing w:after="0"/>
              <w:rPr>
                <w:sz w:val="1"/>
                <w:szCs w:val="1"/>
                <w:color w:val="auto"/>
              </w:rPr>
            </w:pPr>
          </w:p>
        </w:tc>
      </w:tr>
      <w:tr>
        <w:trPr>
          <w:trHeight w:val="253"/>
        </w:trPr>
        <w:tc>
          <w:tcPr>
            <w:tcW w:w="4960" w:type="dxa"/>
            <w:vAlign w:val="bottom"/>
            <w:vMerge w:val="restart"/>
          </w:tcPr>
          <w:p>
            <w:pPr>
              <w:jc w:val="right"/>
              <w:ind w:right="3440"/>
              <w:spacing w:after="0"/>
              <w:rPr>
                <w:sz w:val="20"/>
                <w:szCs w:val="20"/>
                <w:color w:val="auto"/>
              </w:rPr>
            </w:pPr>
            <w:r>
              <w:rPr>
                <w:rFonts w:ascii="Times New Roman" w:cs="Times New Roman" w:eastAsia="Times New Roman" w:hAnsi="Times New Roman"/>
                <w:sz w:val="20"/>
                <w:szCs w:val="20"/>
                <w:color w:val="auto"/>
                <w:w w:val="98"/>
              </w:rPr>
              <w:t>Cash equivalents: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4"/>
        </w:trPr>
        <w:tc>
          <w:tcPr>
            <w:tcW w:w="4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Money market funds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166,464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166,464</w:t>
            </w:r>
          </w:p>
        </w:tc>
        <w:tc>
          <w:tcPr>
            <w:tcW w:w="0" w:type="dxa"/>
            <w:vAlign w:val="bottom"/>
          </w:tcPr>
          <w:p>
            <w:pPr>
              <w:spacing w:after="0"/>
              <w:rPr>
                <w:sz w:val="1"/>
                <w:szCs w:val="1"/>
                <w:color w:val="auto"/>
              </w:rPr>
            </w:pPr>
          </w:p>
        </w:tc>
      </w:tr>
      <w:tr>
        <w:trPr>
          <w:trHeight w:val="234"/>
        </w:trPr>
        <w:tc>
          <w:tcPr>
            <w:tcW w:w="4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............................................................Totalcashequivalents</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166,464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166,464</w:t>
            </w:r>
          </w:p>
        </w:tc>
        <w:tc>
          <w:tcPr>
            <w:tcW w:w="0" w:type="dxa"/>
            <w:vAlign w:val="bottom"/>
          </w:tcPr>
          <w:p>
            <w:pPr>
              <w:spacing w:after="0"/>
              <w:rPr>
                <w:sz w:val="1"/>
                <w:szCs w:val="1"/>
                <w:color w:val="auto"/>
              </w:rPr>
            </w:pPr>
          </w:p>
        </w:tc>
      </w:tr>
      <w:tr>
        <w:trPr>
          <w:trHeight w:val="249"/>
        </w:trPr>
        <w:tc>
          <w:tcPr>
            <w:tcW w:w="4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1,610</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1,610</w:t>
            </w:r>
          </w:p>
        </w:tc>
        <w:tc>
          <w:tcPr>
            <w:tcW w:w="0" w:type="dxa"/>
            <w:vAlign w:val="bottom"/>
          </w:tcPr>
          <w:p>
            <w:pPr>
              <w:spacing w:after="0"/>
              <w:rPr>
                <w:sz w:val="1"/>
                <w:szCs w:val="1"/>
                <w:color w:val="auto"/>
              </w:rPr>
            </w:pPr>
          </w:p>
        </w:tc>
      </w:tr>
      <w:tr>
        <w:trPr>
          <w:trHeight w:val="239"/>
        </w:trPr>
        <w:tc>
          <w:tcPr>
            <w:tcW w:w="4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.............................................Totalcashandcashequivalents</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168,074</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168,074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-1009650</wp:posOffset>
            </wp:positionV>
            <wp:extent cx="319214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3192145" cy="38100"/>
                    </a:xfrm>
                    <a:prstGeom prst="rect">
                      <a:avLst/>
                    </a:prstGeom>
                    <a:noFill/>
                  </pic:spPr>
                </pic:pic>
              </a:graphicData>
            </a:graphic>
          </wp:anchor>
        </w:drawing>
      </w:r>
    </w:p>
    <w:p>
      <w:pPr>
        <w:sectPr>
          <w:pgSz w:w="12240" w:h="15840" w:orient="portrait"/>
          <w:cols w:equalWidth="0" w:num="1">
            <w:col w:w="10060"/>
          </w:cols>
          <w:pgMar w:left="1080" w:top="717"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60"/>
          </w:cols>
          <w:pgMar w:left="1080" w:top="717" w:right="1100" w:bottom="175"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ind w:right="52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 fair value of the liability related to sale of future royalties is based on the Company's current estimates of future royalties expected to be paid to Baker Bros. Advisors, LP (“BBA”), which are considered Level 3 inputs. See Note 15.</w:t>
      </w:r>
    </w:p>
    <w:p>
      <w:pPr>
        <w:spacing w:after="0" w:line="68"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As discussed in Note 8, the Company entered into a sublease agreement during the first quarter of 2025, which led to an impairment of the related right-of-use asset. Estimated fair value of the right-of-use asset was based on expected sublease rental income, considering current sublease market conditions, discounted at a market rate of return on similar assets. The estimates and assumptions used are considered Level 3 inputs.</w:t>
      </w:r>
    </w:p>
    <w:p>
      <w:pPr>
        <w:spacing w:after="0" w:line="74"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auto"/>
        </w:rPr>
        <w:t>There were no transfers of assets or liabilities between the fair value measurement levels during the years ended December 31, 2025 and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Marketable Securities</w:t>
      </w:r>
    </w:p>
    <w:p>
      <w:pPr>
        <w:spacing w:after="0" w:line="124" w:lineRule="exact"/>
        <w:rPr>
          <w:sz w:val="20"/>
          <w:szCs w:val="20"/>
          <w:color w:val="auto"/>
        </w:rPr>
      </w:pPr>
    </w:p>
    <w:p>
      <w:pPr>
        <w:jc w:val="both"/>
        <w:ind w:right="68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there were no marketable securities. There were no reclassifications out of accumulated other comprehensive income (loss), impairment charges or recoveries and no allowance for credit losses recorded for the years ended December 31, 2025, 2024 and 2023,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Derivatives</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Company has used certain derivative instruments, which are not designated as hedges for accounting purposes, including foreign currency forward contracts. As of December 31, 2025 and 2024, the Company did not have any outstanding derivative instruments.</w:t>
      </w:r>
    </w:p>
    <w:p>
      <w:pPr>
        <w:spacing w:after="0" w:line="184" w:lineRule="exact"/>
        <w:rPr>
          <w:sz w:val="20"/>
          <w:szCs w:val="20"/>
          <w:color w:val="auto"/>
        </w:rPr>
      </w:pPr>
    </w:p>
    <w:p>
      <w:pPr>
        <w:ind w:right="7040"/>
        <w:spacing w:after="0" w:line="368" w:lineRule="auto"/>
        <w:tabs>
          <w:tab w:leader="none" w:pos="20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Leases</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Palo Alto, California Leases</w:t>
      </w:r>
    </w:p>
    <w:p>
      <w:pPr>
        <w:spacing w:after="0" w:line="11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In June 2020, the Company entered into lease agreements for two buildings at 1250 and 1200 Page Mill Road in Palo Alto, California, which serve as the Company’s U.S. corporate offices and research and development facilities. The buildings are approximately 73,000 square feet and 83,000 square feet, respectively, and include office and laboratory space.</w:t>
      </w:r>
    </w:p>
    <w:p>
      <w:pPr>
        <w:spacing w:after="0" w:line="6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lease term for 1250 Page Mill Road is 13 years and commenced in July 2020. The lease includes two options to extend for a term of five years each. The lease term for 1200 Page Mill Road is 6.5 years and commenced in September 2020. The lease includes an option to extend for another 6.5 years. In both cases, the Company determined the extension options were not reasonably certain to be exercised at lease inception. In addition to fixed monthly rent, the Company pays for variable operating expenses, such as property taxes, insurance costs, and maintenance costs.</w:t>
      </w:r>
    </w:p>
    <w:p>
      <w:pPr>
        <w:spacing w:after="0" w:line="77" w:lineRule="exact"/>
        <w:rPr>
          <w:sz w:val="20"/>
          <w:szCs w:val="20"/>
          <w:color w:val="auto"/>
        </w:rPr>
      </w:pPr>
    </w:p>
    <w:p>
      <w:pPr>
        <w:ind w:right="120" w:firstLine="490"/>
        <w:spacing w:after="0" w:line="260" w:lineRule="auto"/>
        <w:rPr>
          <w:sz w:val="20"/>
          <w:szCs w:val="20"/>
          <w:color w:val="auto"/>
        </w:rPr>
      </w:pPr>
      <w:r>
        <w:rPr>
          <w:rFonts w:ascii="Times New Roman" w:cs="Times New Roman" w:eastAsia="Times New Roman" w:hAnsi="Times New Roman"/>
          <w:sz w:val="19"/>
          <w:szCs w:val="19"/>
          <w:color w:val="auto"/>
        </w:rPr>
        <w:t>In March 2025, the Company subleased 1200 Page Mill Road. The term of the sublease is from March 2025 to February 2027, with no option to extend. Future minimum lease payments to be received under the sublease are $5.7 million and $0.5 million for the years ended December 31, 2026 and 2027, respectively. In addition to fixed monthly rent, the sublessee also pays for variable operating expenses. During the year ended December 31, 2025, the Company recognized $4.6 million of sublease income, of which $1.4 million was variable sublease income. Sublease income is recorded as a reduction to rent expense and included within general and administrative expense. Upon entering the sublease, the Company recognized a non-cash lease impairment expense of $ 1.9 million because the remaining lease cost to be recognized by the Company exceeded anticipated sublease income. See Note 5 for discussion of inputs used in determining the impairment.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Switzerland Lease</w:t>
      </w:r>
    </w:p>
    <w:p>
      <w:pPr>
        <w:spacing w:after="0" w:line="11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In April 2020, the Company entered into a lease agreement for approximately 1,000 square meters of office and laboratory space in Visp, Switzerland. The initial lease term is 5 years, with automatic renewals every 5 years for a maximum lease term of 15 years. In addition to fixed monthly rent, the Company pays certain operating expenses and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Ursus Facility</w:t>
      </w:r>
    </w:p>
    <w:p>
      <w:pPr>
        <w:spacing w:after="0" w:line="114"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suite. The manufacturing agreement has an initial term of 8 years, and the Company has the right to extend the term up to a total of 16 years. The Company and Lonza each have the ability to terminate this agreement upon the occurrence of certain events.</w:t>
      </w:r>
    </w:p>
    <w:p>
      <w:pPr>
        <w:sectPr>
          <w:pgSz w:w="12240" w:h="15840" w:orient="portrait"/>
          <w:cols w:equalWidth="0" w:num="1">
            <w:col w:w="10080"/>
          </w:cols>
          <w:pgMar w:left="1080" w:top="717"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080" w:top="717" w:right="1080" w:bottom="175"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spacing w:after="0" w:line="7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The Company concluded that this agreement contained an embedded lease as the custom-built manufacturing suite would be dedicated for the Company’s use. On January 31, 2023, the custom-built manufacturing suite was commissioned as a cGMP facility, which was also considered lease commencement. Consideration was allocated to lease and non-lease components as this agreement contained a significant service component (manufacturing services). Under ASC 842, the Company classified the lease portion as an operating lease and recorded a right-of-use asset and lease liability on the lease commencement date.</w:t>
      </w:r>
    </w:p>
    <w:p>
      <w:pPr>
        <w:spacing w:after="0" w:line="80"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Fixed assets of $81.7 million, in leasehold improvements and machinery and equipment, were placed in service and capitalized as of January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Lease Payments and Supplemental Lease Information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is a schedule, by years, of maturities of lease liabilities as of December 31, 2025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620" w:type="dxa"/>
            <w:vAlign w:val="bottom"/>
            <w:vMerge w:val="restart"/>
          </w:tcPr>
          <w:p>
            <w:pPr>
              <w:jc w:val="right"/>
              <w:ind w:right="7120"/>
              <w:spacing w:after="0"/>
              <w:rPr>
                <w:sz w:val="20"/>
                <w:szCs w:val="20"/>
                <w:color w:val="auto"/>
              </w:rPr>
            </w:pPr>
            <w:r>
              <w:rPr>
                <w:rFonts w:ascii="Times New Roman" w:cs="Times New Roman" w:eastAsia="Times New Roman" w:hAnsi="Times New Roman"/>
                <w:sz w:val="20"/>
                <w:szCs w:val="20"/>
                <w:color w:val="auto"/>
                <w:w w:val="94"/>
              </w:rPr>
              <w:t>2026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Amounts</w:t>
            </w:r>
          </w:p>
        </w:tc>
        <w:tc>
          <w:tcPr>
            <w:tcW w:w="0" w:type="dxa"/>
            <w:vAlign w:val="bottom"/>
          </w:tcPr>
          <w:p>
            <w:pPr>
              <w:spacing w:after="0"/>
              <w:rPr>
                <w:sz w:val="1"/>
                <w:szCs w:val="1"/>
                <w:color w:val="auto"/>
              </w:rPr>
            </w:pPr>
          </w:p>
        </w:tc>
      </w:tr>
      <w:tr>
        <w:trPr>
          <w:trHeight w:val="233"/>
        </w:trPr>
        <w:tc>
          <w:tcPr>
            <w:tcW w:w="7620" w:type="dxa"/>
            <w:vAlign w:val="bottom"/>
            <w:vMerge w:val="continue"/>
          </w:tcPr>
          <w:p>
            <w:pPr>
              <w:jc w:val="right"/>
              <w:ind w:right="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6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2027 .............................................................................................................................................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2028 .............................................................................................................................................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2029 .............................................................................................................................................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2030 .............................................................................................................................................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Thereafter.....................................................................................................................................</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6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.............................................................................................Totalundiscountedleasepayments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Less: imputed interest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(14,100)</w:t>
            </w:r>
          </w:p>
        </w:tc>
        <w:tc>
          <w:tcPr>
            <w:tcW w:w="0" w:type="dxa"/>
            <w:vAlign w:val="bottom"/>
          </w:tcPr>
          <w:p>
            <w:pPr>
              <w:spacing w:after="0"/>
              <w:rPr>
                <w:sz w:val="1"/>
                <w:szCs w:val="1"/>
                <w:color w:val="auto"/>
              </w:rPr>
            </w:pPr>
          </w:p>
        </w:tc>
      </w:tr>
      <w:tr>
        <w:trPr>
          <w:trHeight w:val="239"/>
        </w:trPr>
        <w:tc>
          <w:tcPr>
            <w:tcW w:w="76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...................................................................................................Presentvalueofleaseliabilities</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table above does not include payments for operating expenses, which are not fixed at lease commencement.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72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w w:val="99"/>
              </w:rPr>
              <w:t>The components of lease expense were as follows (in thousands):</w:t>
            </w: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4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gridSpan w:val="9"/>
          </w:tcPr>
          <w:p>
            <w:pPr>
              <w:jc w:val="center"/>
              <w:ind w:lef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72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0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12,245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13,192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expense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expense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3,618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 ...............................................................</w:t>
            </w:r>
          </w:p>
        </w:tc>
        <w:tc>
          <w:tcPr>
            <w:tcW w:w="100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(4,622)</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47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.........................................................Totalleaseexpense</w:t>
            </w:r>
          </w:p>
        </w:tc>
        <w:tc>
          <w:tcPr>
            <w:tcW w:w="1000" w:type="dxa"/>
            <w:vAlign w:val="bottom"/>
            <w:tcBorders>
              <w:top w:val="single" w:sz="8" w:color="auto"/>
              <w:bottom w:val="single" w:sz="8" w:color="auto"/>
            </w:tcBorders>
          </w:tcPr>
          <w:p>
            <w:pPr>
              <w:jc w:val="right"/>
              <w:ind w:right="80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10,882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16,339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17,304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6880" w:type="dxa"/>
            <w:vAlign w:val="bottom"/>
            <w:gridSpan w:val="6"/>
          </w:tcPr>
          <w:p>
            <w:pPr>
              <w:ind w:left="500"/>
              <w:spacing w:after="0"/>
              <w:rPr>
                <w:sz w:val="20"/>
                <w:szCs w:val="20"/>
                <w:color w:val="auto"/>
              </w:rPr>
            </w:pPr>
            <w:r>
              <w:rPr>
                <w:rFonts w:ascii="Times New Roman" w:cs="Times New Roman" w:eastAsia="Times New Roman" w:hAnsi="Times New Roman"/>
                <w:sz w:val="20"/>
                <w:szCs w:val="20"/>
                <w:color w:val="auto"/>
                <w:w w:val="99"/>
              </w:rPr>
              <w:t>Supplemental balance sheet information related to lease liabilities is as follows: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720" w:type="dxa"/>
            <w:vAlign w:val="bottom"/>
            <w:gridSpan w:val="2"/>
            <w:vMerge w:val="continue"/>
          </w:tcPr>
          <w:p>
            <w:pPr>
              <w:ind w:left="402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20"/>
                <w:szCs w:val="20"/>
                <w:color w:val="auto"/>
                <w:w w:val="95"/>
              </w:rPr>
              <w:t>6.3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20"/>
                <w:szCs w:val="20"/>
                <w:color w:val="auto"/>
                <w:w w:val="95"/>
              </w:rPr>
              <w:t>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2"/>
              </w:rPr>
              <w:t>Weighted-average discount rate .......................................................................</w:t>
            </w: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6.8%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-2010410</wp:posOffset>
            </wp:positionV>
            <wp:extent cx="339915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3399155" cy="38100"/>
                    </a:xfrm>
                    <a:prstGeom prst="rect">
                      <a:avLst/>
                    </a:prstGeom>
                    <a:noFill/>
                  </pic:spPr>
                </pic:pic>
              </a:graphicData>
            </a:graphic>
          </wp:anchor>
        </w:drawing>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Supplemental cash flow information related to leases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80" w:type="dxa"/>
            <w:vAlign w:val="bottom"/>
          </w:tcPr>
          <w:p>
            <w:pPr>
              <w:spacing w:after="0"/>
              <w:rPr>
                <w:sz w:val="22"/>
                <w:szCs w:val="22"/>
                <w:color w:val="auto"/>
              </w:rPr>
            </w:pPr>
          </w:p>
        </w:tc>
      </w:tr>
      <w:tr>
        <w:trPr>
          <w:trHeight w:val="254"/>
        </w:trPr>
        <w:tc>
          <w:tcPr>
            <w:tcW w:w="5700" w:type="dxa"/>
            <w:vAlign w:val="bottom"/>
            <w:gridSpan w:val="2"/>
          </w:tcPr>
          <w:p>
            <w:pPr>
              <w:ind w:left="528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580" w:type="dxa"/>
            <w:vAlign w:val="bottom"/>
          </w:tcPr>
          <w:p>
            <w:pPr>
              <w:spacing w:after="0"/>
              <w:rPr>
                <w:sz w:val="22"/>
                <w:szCs w:val="22"/>
                <w:color w:val="auto"/>
              </w:rPr>
            </w:pP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19"/>
        </w:trPr>
        <w:tc>
          <w:tcPr>
            <w:tcW w:w="46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Cash paid for operating lease liabilities, included in</w:t>
            </w: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44"/>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cash flows ........................................................</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15,824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15,157</w:t>
            </w: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6"/>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liabilities .................................................</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(49)</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-800100</wp:posOffset>
            </wp:positionV>
            <wp:extent cx="342074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3420745" cy="38100"/>
                    </a:xfrm>
                    <a:prstGeom prst="rect">
                      <a:avLst/>
                    </a:prstGeom>
                    <a:noFill/>
                  </pic:spPr>
                </pic:pic>
              </a:graphicData>
            </a:graphic>
          </wp:anchor>
        </w:drawing>
      </w:r>
    </w:p>
    <w:p>
      <w:pPr>
        <w:sectPr>
          <w:pgSz w:w="12240" w:h="15840" w:orient="portrait"/>
          <w:cols w:equalWidth="0" w:num="1">
            <w:col w:w="10060"/>
          </w:cols>
          <w:pgMar w:left="1080" w:top="717"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60"/>
          </w:cols>
          <w:pgMar w:left="1080" w:top="717" w:right="1100" w:bottom="175" w:gutter="0" w:footer="0" w:header="0"/>
          <w:type w:val="continuous"/>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 Agreements</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86"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2025, future contractual obligations related to these manufacturing agreements that may be subject to cancellation fees was $23.9 million. This amount represents our minimal contractual obligations, excluding the commitments under the Ursus Facility arrangement. Purchases under these manufacturing agreements for the years ended December 31, 2025, 2024 and 2023 were $34.8 million, $25.8 million and $59.7 million, respectively.</w:t>
      </w:r>
    </w:p>
    <w:p>
      <w:pPr>
        <w:spacing w:after="0" w:line="7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In addition, future manufacturing contractual obligations totaling approximately 86.5 million Swiss Francs may be incurred for the potential clinical and commercial supply of tarcocimab and other antibody biopolymer conjugates medicines based on the agreements with Lonza for production at the Ursus Facility.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Funding Commitments</w:t>
      </w:r>
    </w:p>
    <w:p>
      <w:pPr>
        <w:spacing w:after="0" w:line="116"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74"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1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From time to time, the Company may be subject to various legal proceedings and claims that arise in the ordinary course of its business activities. Management is currently not aware of any matters that could have a material adverse effect on the its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components of loss before income taxes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20" w:type="dxa"/>
            <w:vAlign w:val="bottom"/>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740" w:type="dxa"/>
            <w:vAlign w:val="bottom"/>
            <w:vMerge w:val="restart"/>
          </w:tcPr>
          <w:p>
            <w:pPr>
              <w:jc w:val="right"/>
              <w:ind w:right="4560"/>
              <w:spacing w:after="0"/>
              <w:rPr>
                <w:sz w:val="20"/>
                <w:szCs w:val="20"/>
                <w:color w:val="auto"/>
              </w:rPr>
            </w:pPr>
            <w:r>
              <w:rPr>
                <w:rFonts w:ascii="Times New Roman" w:cs="Times New Roman" w:eastAsia="Times New Roman" w:hAnsi="Times New Roman"/>
                <w:sz w:val="20"/>
                <w:szCs w:val="20"/>
                <w:color w:val="auto"/>
                <w:w w:val="98"/>
              </w:rPr>
              <w:t>United States</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740" w:type="dxa"/>
            <w:vAlign w:val="bottom"/>
            <w:vMerge w:val="continue"/>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(154,535)</w:t>
            </w:r>
          </w:p>
        </w:tc>
        <w:tc>
          <w:tcPr>
            <w:tcW w:w="24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(118,783)</w:t>
            </w:r>
          </w:p>
        </w:tc>
        <w:tc>
          <w:tcPr>
            <w:tcW w:w="24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1"/>
              </w:rPr>
              <w:t>(143,256)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Foreign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(75,380)</w:t>
            </w:r>
          </w:p>
        </w:tc>
        <w:tc>
          <w:tcPr>
            <w:tcW w:w="2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(57,404)</w:t>
            </w:r>
          </w:p>
        </w:tc>
        <w:tc>
          <w:tcPr>
            <w:tcW w:w="32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(117,176)</w:t>
            </w:r>
          </w:p>
        </w:tc>
        <w:tc>
          <w:tcPr>
            <w:tcW w:w="0" w:type="dxa"/>
            <w:vAlign w:val="bottom"/>
          </w:tcPr>
          <w:p>
            <w:pPr>
              <w:spacing w:after="0"/>
              <w:rPr>
                <w:sz w:val="1"/>
                <w:szCs w:val="1"/>
                <w:color w:val="auto"/>
              </w:rPr>
            </w:pPr>
          </w:p>
        </w:tc>
      </w:tr>
      <w:tr>
        <w:trPr>
          <w:trHeight w:val="239"/>
        </w:trPr>
        <w:tc>
          <w:tcPr>
            <w:tcW w:w="5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..............................................................Totallossbeforeincometaxes</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(229,915)</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(176,187)</w:t>
            </w: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w w:val="91"/>
              </w:rPr>
              <w:t>(260,432)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-690245</wp:posOffset>
            </wp:positionV>
            <wp:extent cx="268541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2685415" cy="38100"/>
                    </a:xfrm>
                    <a:prstGeom prst="rect">
                      <a:avLst/>
                    </a:prstGeom>
                    <a:noFill/>
                  </pic:spPr>
                </pic:pic>
              </a:graphicData>
            </a:graphic>
          </wp:anchor>
        </w:drawing>
      </w:r>
    </w:p>
    <w:p>
      <w:pPr>
        <w:spacing w:after="0" w:line="218"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For the years ended December 31, 2025, 2024, and 2023, the Company recorded $52 thousand, $20 thousand, and $33 thousand of foreign current income tax expense, respectively.</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Income taxes paid, net of refunds received, were not material for the years ended December 31, 2025, 2024, and 2023.</w:t>
      </w:r>
    </w:p>
    <w:p>
      <w:pPr>
        <w:sectPr>
          <w:pgSz w:w="12240" w:h="15840" w:orient="portrait"/>
          <w:cols w:equalWidth="0" w:num="1">
            <w:col w:w="10060"/>
          </w:cols>
          <w:pgMar w:left="1080" w:top="717"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60"/>
          </w:cols>
          <w:pgMar w:left="1080" w:top="717" w:right="1100" w:bottom="175" w:gutter="0" w:footer="0" w:header="0"/>
          <w:type w:val="continuous"/>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auto"/>
        </w:rPr>
        <w:t>The tax effects of temporary differences that give rise to significant components of the deferred tax assets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operating loss carryforwards ............................................................................</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179,757</w:t>
            </w:r>
          </w:p>
        </w:tc>
        <w:tc>
          <w:tcPr>
            <w:tcW w:w="260" w:type="dxa"/>
            <w:vAlign w:val="bottom"/>
          </w:tcPr>
          <w:p>
            <w:pPr>
              <w:spacing w:after="0"/>
              <w:rPr>
                <w:sz w:val="21"/>
                <w:szCs w:val="21"/>
                <w:color w:val="auto"/>
              </w:rPr>
            </w:pP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Intangible assets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11,891</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Research and development tax credits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37,193</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32,708</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Accruals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liability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 174 Capitalized R&amp;D ......................................................................................</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21,312</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............................................................................Totalgrossdeferredtaxassets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296,064</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Valuation allowance............................................................................................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(288,065)</w:t>
            </w: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(247,216)</w:t>
            </w:r>
          </w:p>
        </w:tc>
        <w:tc>
          <w:tcPr>
            <w:tcW w:w="0" w:type="dxa"/>
            <w:vAlign w:val="bottom"/>
          </w:tcPr>
          <w:p>
            <w:pPr>
              <w:spacing w:after="0"/>
              <w:rPr>
                <w:sz w:val="1"/>
                <w:szCs w:val="1"/>
                <w:color w:val="auto"/>
              </w:rPr>
            </w:pPr>
          </w:p>
        </w:tc>
      </w:tr>
      <w:tr>
        <w:trPr>
          <w:trHeight w:val="23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........................................................................................Netdeferredtaxassets</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7,999</w:t>
            </w:r>
          </w:p>
        </w:tc>
        <w:tc>
          <w:tcPr>
            <w:tcW w:w="2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right-of-use asset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(6,891)</w:t>
            </w: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(8,822)</w:t>
            </w:r>
          </w:p>
        </w:tc>
        <w:tc>
          <w:tcPr>
            <w:tcW w:w="0" w:type="dxa"/>
            <w:vAlign w:val="bottom"/>
          </w:tcPr>
          <w:p>
            <w:pPr>
              <w:spacing w:after="0"/>
              <w:rPr>
                <w:sz w:val="1"/>
                <w:szCs w:val="1"/>
                <w:color w:val="auto"/>
              </w:rPr>
            </w:pPr>
          </w:p>
        </w:tc>
      </w:tr>
      <w:tr>
        <w:trPr>
          <w:trHeight w:val="249"/>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Property and equipment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(1,108)</w:t>
            </w: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(1,462)</w:t>
            </w:r>
          </w:p>
        </w:tc>
        <w:tc>
          <w:tcPr>
            <w:tcW w:w="0" w:type="dxa"/>
            <w:vAlign w:val="bottom"/>
          </w:tcPr>
          <w:p>
            <w:pPr>
              <w:spacing w:after="0"/>
              <w:rPr>
                <w:sz w:val="1"/>
                <w:szCs w:val="1"/>
                <w:color w:val="auto"/>
              </w:rPr>
            </w:pPr>
          </w:p>
        </w:tc>
      </w:tr>
      <w:tr>
        <w:trPr>
          <w:trHeight w:val="239"/>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.......................................................................Totalgrossdeferredtaxliabilities</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(7,999)</w:t>
            </w: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................................................................................Totalnetdeferredtaxassets</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Company has recorded a full valuation allowance against its net deferred tax assets due to the uncertainty as to whether such assets will be realized. The net change in the total valuation allowance for the years ended December 31, 2025 and 2024, was an increase of approximately $40.8 million and a decrease of $126.3 million, respectively. The decrease in the year ended December 31, 2024 was due to the expiration of a foreign intangible asset.</w:t>
      </w:r>
    </w:p>
    <w:p>
      <w:pPr>
        <w:spacing w:after="0" w:line="7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820" w:type="dxa"/>
            <w:vAlign w:val="bottom"/>
            <w:vMerge w:val="restart"/>
          </w:tcPr>
          <w:p>
            <w:pPr>
              <w:jc w:val="right"/>
              <w:ind w:right="5220"/>
              <w:spacing w:after="0"/>
              <w:rPr>
                <w:sz w:val="20"/>
                <w:szCs w:val="20"/>
                <w:color w:val="auto"/>
              </w:rPr>
            </w:pPr>
            <w:r>
              <w:rPr>
                <w:rFonts w:ascii="Times New Roman" w:cs="Times New Roman" w:eastAsia="Times New Roman" w:hAnsi="Times New Roman"/>
                <w:sz w:val="20"/>
                <w:szCs w:val="20"/>
                <w:color w:val="auto"/>
                <w:w w:val="99"/>
              </w:rPr>
              <w:t>Beginning balance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20" w:type="dxa"/>
            <w:vAlign w:val="bottom"/>
            <w:vMerge w:val="continue"/>
          </w:tcPr>
          <w:p>
            <w:pPr>
              <w:jc w:val="right"/>
              <w:ind w:right="80"/>
              <w:spacing w:after="0" w:line="196"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247,216</w:t>
            </w:r>
          </w:p>
        </w:tc>
        <w:tc>
          <w:tcPr>
            <w:tcW w:w="280" w:type="dxa"/>
            <w:vAlign w:val="bottom"/>
          </w:tcPr>
          <w:p>
            <w:pPr>
              <w:spacing w:after="0"/>
              <w:rPr>
                <w:sz w:val="20"/>
                <w:szCs w:val="20"/>
                <w:color w:val="auto"/>
              </w:rPr>
            </w:pP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Change related to continuing operations ....................................................................</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40,849</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(126,258)</w:t>
            </w:r>
          </w:p>
        </w:tc>
        <w:tc>
          <w:tcPr>
            <w:tcW w:w="0" w:type="dxa"/>
            <w:vAlign w:val="bottom"/>
          </w:tcPr>
          <w:p>
            <w:pPr>
              <w:spacing w:after="0"/>
              <w:rPr>
                <w:sz w:val="1"/>
                <w:szCs w:val="1"/>
                <w:color w:val="auto"/>
              </w:rPr>
            </w:pPr>
          </w:p>
        </w:tc>
      </w:tr>
      <w:tr>
        <w:trPr>
          <w:trHeight w:val="239"/>
        </w:trPr>
        <w:tc>
          <w:tcPr>
            <w:tcW w:w="6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..........................................................................................................Endingbalance</w:t>
            </w: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288,065</w:t>
            </w:r>
          </w:p>
        </w:tc>
        <w:tc>
          <w:tcPr>
            <w:tcW w:w="2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247,216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The Company periodically completes a Section 382 analysis. Subsequent ownership changes since the most recent study may further affect the limitation in future years.</w:t>
      </w:r>
    </w:p>
    <w:p>
      <w:pPr>
        <w:spacing w:after="0" w:line="8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 had $224.3 million of federal and $616.3 million of state net operating loss available to offset future taxable income. A portion of the federal net operating loss carryforwards begin to expire in 2035 and the state net operating loss carryforwards begin to expire in 2035, if not utilized. $206.2 million of the federal net operating loss are not subject to expiration.</w:t>
      </w:r>
    </w:p>
    <w:p>
      <w:pPr>
        <w:spacing w:after="0" w:line="7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also had federal and state research and development credit carryforwards of approximately $35.3 million and $11.5 million, respectively. The federal research and development credit carryforwards expire beginning 2035. The California tax credit can be carried forward indefinitely.</w:t>
      </w:r>
    </w:p>
    <w:p>
      <w:pPr>
        <w:sectPr>
          <w:pgSz w:w="12240" w:h="15840" w:orient="portrait"/>
          <w:cols w:equalWidth="0" w:num="1">
            <w:col w:w="10060"/>
          </w:cols>
          <w:pgMar w:left="1080" w:top="717"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60"/>
          </w:cols>
          <w:pgMar w:left="1080" w:top="717" w:right="1100" w:bottom="175"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120" w:type="dxa"/>
            <w:vAlign w:val="bottom"/>
            <w:gridSpan w:val="11"/>
          </w:tcPr>
          <w:p>
            <w:pPr>
              <w:jc w:val="right"/>
              <w:ind w:right="500"/>
              <w:spacing w:after="0"/>
              <w:rPr>
                <w:sz w:val="20"/>
                <w:szCs w:val="20"/>
                <w:color w:val="auto"/>
              </w:rPr>
            </w:pPr>
            <w:r>
              <w:rPr>
                <w:rFonts w:ascii="Times New Roman" w:cs="Times New Roman" w:eastAsia="Times New Roman" w:hAnsi="Times New Roman"/>
                <w:sz w:val="20"/>
                <w:szCs w:val="20"/>
                <w:color w:val="auto"/>
              </w:rPr>
              <w:t>A reconciliation of the U.S. federal rate to the Company’s effective tax rate is as follows: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1"/>
        </w:trPr>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5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60" w:type="dxa"/>
            <w:vAlign w:val="bottom"/>
            <w:vMerge w:val="continue"/>
          </w:tcPr>
          <w:p>
            <w:pPr>
              <w:jc w:val="right"/>
              <w:ind w:right="20"/>
              <w:spacing w:after="0" w:line="19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(48,282)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(36,999)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(54,691)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4"/>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29,999</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-13.0%</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18,175</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-10.3%</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23,080</w:t>
            </w: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44"/>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Stock-based compensation..................................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4,382</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8,981</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-5.1%</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10,704</w:t>
            </w: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44"/>
        </w:trPr>
        <w:tc>
          <w:tcPr>
            <w:tcW w:w="4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4"/>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Research and development tax credits ................</w:t>
            </w: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(3,235)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(2,307)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(3,776)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4"/>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60" w:type="dxa"/>
            <w:vAlign w:val="bottom"/>
          </w:tcPr>
          <w:p>
            <w:pPr>
              <w:jc w:val="right"/>
              <w:ind w:right="2900"/>
              <w:spacing w:after="0"/>
              <w:rPr>
                <w:sz w:val="20"/>
                <w:szCs w:val="20"/>
                <w:color w:val="auto"/>
              </w:rPr>
            </w:pPr>
            <w:r>
              <w:rPr>
                <w:rFonts w:ascii="Times New Roman" w:cs="Times New Roman" w:eastAsia="Times New Roman" w:hAnsi="Times New Roman"/>
                <w:sz w:val="20"/>
                <w:szCs w:val="20"/>
                <w:color w:val="auto"/>
              </w:rPr>
              <w:t>Switzerland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Tax rate differential ..........................................</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7,404</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-3.2%</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5,260</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10,754</w:t>
            </w: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44"/>
        </w:trPr>
        <w:tc>
          <w:tcPr>
            <w:tcW w:w="4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Change in valuation allowance .........................</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9,527</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(145,138)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82.4%</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11,061</w:t>
            </w: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4"/>
        </w:trPr>
        <w:tc>
          <w:tcPr>
            <w:tcW w:w="4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Intangible valuation ..........................................</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151,926</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-86.2%</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w:t>
            </w: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49"/>
        </w:trPr>
        <w:tc>
          <w:tcPr>
            <w:tcW w:w="4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0.0%</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w:t>
            </w: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60" w:type="dxa"/>
            <w:vAlign w:val="bottom"/>
            <w:vMerge w:val="continue"/>
          </w:tcPr>
          <w:p>
            <w:pPr>
              <w:jc w:val="right"/>
              <w:ind w:right="20"/>
              <w:spacing w:after="0" w:line="19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vMerge w:val="continue"/>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40" w:type="dxa"/>
            <w:vAlign w:val="bottom"/>
            <w:vMerge w:val="continue"/>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-2395220</wp:posOffset>
            </wp:positionV>
            <wp:extent cx="37204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3720465" cy="38100"/>
                    </a:xfrm>
                    <a:prstGeom prst="rect">
                      <a:avLst/>
                    </a:prstGeom>
                    <a:noFill/>
                  </pic:spPr>
                </pic:pic>
              </a:graphicData>
            </a:graphic>
          </wp:anchor>
        </w:drawing>
      </w:r>
    </w:p>
    <w:p>
      <w:pPr>
        <w:spacing w:after="0" w:line="99"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The decrease in the intangible valuation in the year ended December 31, 2024 was due to the expiration of a foreign intangible asset.</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As of December 31, 2025, 2024 and 2023, none of the unrecognized tax benefits would affect income tax expense with consideration of the valuation allowance.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beginning and ending unrecognized tax benefits amounts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860" w:type="dxa"/>
            <w:vAlign w:val="bottom"/>
            <w:vMerge w:val="restart"/>
          </w:tcPr>
          <w:p>
            <w:pPr>
              <w:jc w:val="right"/>
              <w:ind w:right="1840"/>
              <w:spacing w:after="0"/>
              <w:rPr>
                <w:sz w:val="20"/>
                <w:szCs w:val="20"/>
                <w:color w:val="auto"/>
              </w:rPr>
            </w:pPr>
            <w:r>
              <w:rPr>
                <w:rFonts w:ascii="Times New Roman" w:cs="Times New Roman" w:eastAsia="Times New Roman" w:hAnsi="Times New Roman"/>
                <w:sz w:val="20"/>
                <w:szCs w:val="20"/>
                <w:color w:val="auto"/>
                <w:w w:val="99"/>
              </w:rPr>
              <w:t>Unrecognized tax benefits at beginning of period</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4"/>
        </w:trPr>
        <w:tc>
          <w:tcPr>
            <w:tcW w:w="5860" w:type="dxa"/>
            <w:vAlign w:val="bottom"/>
            <w:vMerge w:val="continue"/>
          </w:tcPr>
          <w:p>
            <w:pPr>
              <w:jc w:val="right"/>
              <w:ind w:right="80"/>
              <w:spacing w:after="0" w:line="19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8,803</w:t>
            </w:r>
          </w:p>
        </w:tc>
        <w:tc>
          <w:tcPr>
            <w:tcW w:w="24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8,245</w:t>
            </w:r>
          </w:p>
        </w:tc>
        <w:tc>
          <w:tcPr>
            <w:tcW w:w="22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7,578</w:t>
            </w:r>
          </w:p>
        </w:tc>
        <w:tc>
          <w:tcPr>
            <w:tcW w:w="0" w:type="dxa"/>
            <w:vAlign w:val="bottom"/>
          </w:tcPr>
          <w:p>
            <w:pPr>
              <w:spacing w:after="0"/>
              <w:rPr>
                <w:sz w:val="1"/>
                <w:szCs w:val="1"/>
                <w:color w:val="auto"/>
              </w:rPr>
            </w:pPr>
          </w:p>
        </w:tc>
      </w:tr>
      <w:tr>
        <w:trPr>
          <w:trHeight w:val="249"/>
        </w:trPr>
        <w:tc>
          <w:tcPr>
            <w:tcW w:w="58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Increases related to current year tax positions .....................................</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0" w:type="dxa"/>
            <w:vAlign w:val="bottom"/>
          </w:tcPr>
          <w:p>
            <w:pPr>
              <w:spacing w:after="0"/>
              <w:rPr>
                <w:sz w:val="1"/>
                <w:szCs w:val="1"/>
                <w:color w:val="auto"/>
              </w:rPr>
            </w:pPr>
          </w:p>
        </w:tc>
      </w:tr>
      <w:tr>
        <w:trPr>
          <w:trHeight w:val="239"/>
        </w:trPr>
        <w:tc>
          <w:tcPr>
            <w:tcW w:w="58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.............................................Unrecognizedtaxbenefitsatendofperiod</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9,643</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8,803</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-690245</wp:posOffset>
            </wp:positionV>
            <wp:extent cx="267843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2678430" cy="38100"/>
                    </a:xfrm>
                    <a:prstGeom prst="rect">
                      <a:avLst/>
                    </a:prstGeom>
                    <a:noFill/>
                  </pic:spPr>
                </pic:pic>
              </a:graphicData>
            </a:graphic>
          </wp:anchor>
        </w:drawing>
      </w:r>
    </w:p>
    <w:p>
      <w:pPr>
        <w:spacing w:after="0" w:line="9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The Company files income tax returns in the United States and Switzerland. The Company is not currently under examination by income tax authorities in federal, state or other jurisdictions. All U.S. tax returns remain open for examination by the federal and state authorities for three and four years, respectively, from the date of utilization of any net operating loss or credits.</w:t>
      </w:r>
    </w:p>
    <w:p>
      <w:pPr>
        <w:spacing w:after="0" w:line="7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On July 4, 2025, bill H.R. 1, known as the One Big Beautiful Bill Act (the “OBBBA”), was signed into law. The OBBBA revises U.S. corporate income tax laws by, among other things, restoring the option for immediate tax deductibility of domestic R&amp;D expenditures, making permanent a 100% bonus depreciation deduction for property acquired domestically and providing a new provision for immediate expensing of manufacturing facility costs. The OBBBA did not have a material impact on the Company’s consolidated financial statements.</w:t>
      </w:r>
    </w:p>
    <w:p>
      <w:pPr>
        <w:sectPr>
          <w:pgSz w:w="12240" w:h="15840" w:orient="portrait"/>
          <w:cols w:equalWidth="0" w:num="1">
            <w:col w:w="10080"/>
          </w:cols>
          <w:pgMar w:left="1080" w:top="717"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80"/>
          </w:cols>
          <w:pgMar w:left="1080" w:top="717" w:right="1080" w:bottom="175" w:gutter="0" w:footer="0" w:header="0"/>
          <w:type w:val="continuous"/>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Common Stock</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2025 and 2024, the Company’s amended and restated certificate of incorporation authorized the Company to issue 490,000,000 shares of common stock at the par value of $0.0001 per share. Each share of common stock is entitled to one vote. The board of directors may declare and pay dividends to holders of common stock. The Company has never declared or paid any dividends on common stock.</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120" w:type="dxa"/>
            <w:vAlign w:val="bottom"/>
          </w:tcPr>
          <w:p>
            <w:pPr>
              <w:jc w:val="right"/>
              <w:ind w:right="1560"/>
              <w:spacing w:after="0"/>
              <w:rPr>
                <w:sz w:val="20"/>
                <w:szCs w:val="20"/>
                <w:color w:val="auto"/>
              </w:rPr>
            </w:pPr>
            <w:r>
              <w:rPr>
                <w:rFonts w:ascii="Times New Roman" w:cs="Times New Roman" w:eastAsia="Times New Roman" w:hAnsi="Times New Roman"/>
                <w:sz w:val="20"/>
                <w:szCs w:val="20"/>
                <w:color w:val="auto"/>
              </w:rPr>
              <w:t>The Company had reserved common stock for future issuances as follows:</w:t>
            </w: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5"/>
        </w:trPr>
        <w:tc>
          <w:tcPr>
            <w:tcW w:w="8120" w:type="dxa"/>
            <w:vAlign w:val="bottom"/>
            <w:vMerge w:val="restart"/>
          </w:tcPr>
          <w:p>
            <w:pPr>
              <w:jc w:val="right"/>
              <w:ind w:right="5960"/>
              <w:spacing w:after="0"/>
              <w:rPr>
                <w:sz w:val="20"/>
                <w:szCs w:val="20"/>
                <w:color w:val="auto"/>
              </w:rPr>
            </w:pPr>
            <w:r>
              <w:rPr>
                <w:rFonts w:ascii="Times New Roman" w:cs="Times New Roman" w:eastAsia="Times New Roman" w:hAnsi="Times New Roman"/>
                <w:sz w:val="20"/>
                <w:szCs w:val="20"/>
                <w:color w:val="auto"/>
                <w:w w:val="98"/>
              </w:rPr>
              <w:t>Outstanding stock awards</w:t>
            </w:r>
          </w:p>
        </w:tc>
        <w:tc>
          <w:tcPr>
            <w:tcW w:w="1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0" w:type="dxa"/>
            <w:vAlign w:val="bottom"/>
          </w:tcPr>
          <w:p>
            <w:pPr>
              <w:spacing w:after="0"/>
              <w:rPr>
                <w:sz w:val="1"/>
                <w:szCs w:val="1"/>
                <w:color w:val="auto"/>
              </w:rPr>
            </w:pPr>
          </w:p>
        </w:tc>
      </w:tr>
      <w:tr>
        <w:trPr>
          <w:trHeight w:val="234"/>
        </w:trPr>
        <w:tc>
          <w:tcPr>
            <w:tcW w:w="8120" w:type="dxa"/>
            <w:vAlign w:val="bottom"/>
            <w:vMerge w:val="continue"/>
          </w:tcPr>
          <w:p>
            <w:pPr>
              <w:jc w:val="right"/>
              <w:ind w:right="16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22,344,056</w:t>
            </w:r>
          </w:p>
        </w:tc>
        <w:tc>
          <w:tcPr>
            <w:tcW w:w="0" w:type="dxa"/>
            <w:vAlign w:val="bottom"/>
          </w:tcPr>
          <w:p>
            <w:pPr>
              <w:spacing w:after="0"/>
              <w:rPr>
                <w:sz w:val="1"/>
                <w:szCs w:val="1"/>
                <w:color w:val="auto"/>
              </w:rPr>
            </w:pPr>
          </w:p>
        </w:tc>
      </w:tr>
      <w:tr>
        <w:trPr>
          <w:trHeight w:val="244"/>
        </w:trPr>
        <w:tc>
          <w:tcPr>
            <w:tcW w:w="8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Reserved for future award grants ........................................................................................................</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651,670</w:t>
            </w:r>
          </w:p>
        </w:tc>
        <w:tc>
          <w:tcPr>
            <w:tcW w:w="0" w:type="dxa"/>
            <w:vAlign w:val="bottom"/>
          </w:tcPr>
          <w:p>
            <w:pPr>
              <w:spacing w:after="0"/>
              <w:rPr>
                <w:sz w:val="1"/>
                <w:szCs w:val="1"/>
                <w:color w:val="auto"/>
              </w:rPr>
            </w:pPr>
          </w:p>
        </w:tc>
      </w:tr>
      <w:tr>
        <w:trPr>
          <w:trHeight w:val="249"/>
        </w:trPr>
        <w:tc>
          <w:tcPr>
            <w:tcW w:w="8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Reserved for future ESPP....................................................................................................................</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264,858</w:t>
            </w:r>
          </w:p>
        </w:tc>
        <w:tc>
          <w:tcPr>
            <w:tcW w:w="0" w:type="dxa"/>
            <w:vAlign w:val="bottom"/>
          </w:tcPr>
          <w:p>
            <w:pPr>
              <w:spacing w:after="0"/>
              <w:rPr>
                <w:sz w:val="1"/>
                <w:szCs w:val="1"/>
                <w:color w:val="auto"/>
              </w:rPr>
            </w:pPr>
          </w:p>
        </w:tc>
      </w:tr>
      <w:tr>
        <w:trPr>
          <w:trHeight w:val="239"/>
        </w:trPr>
        <w:tc>
          <w:tcPr>
            <w:tcW w:w="81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....................................................................................................................................................Total</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23,260,584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Stock-Based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2018 Equity Incentive Plan</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(“NSOs”), restricted stock, restricted stock units (“RSUs”), stock appreciation rights, performance units and performance shares to employees, directors and consultants of the Company. The number of shares available for issuance increases annually on the first day of each fiscal year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 10% of voting power of all classes of stock, then the term may not exceed five years and the exercise price must be equal to at least 110% of the fair market value of the common stock on the grant date. Options and RSUs granted generally vest over four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Long-Term Performance Incentive Plan</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2021 Long-Term Performance Incentive Plan (“2021 LTPIP”) was designed to be a long-term, pay-for-performance, incentive plan that would further align the interests of management and other eligible employees with the creation of substantial long-term value for the Company's stockholders. During 2021, eligible employees were provided a one-time opportunity to “opt-in” and forgo a portion of their annual equity incentive awards in exchange for a one-time grant of performance-based stock options from the 2021 LTPIP and 2018 Plan, collectively referred to as the “LTPIP Program”.</w:t>
      </w:r>
    </w:p>
    <w:p>
      <w:pPr>
        <w:spacing w:after="0" w:line="77"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auto"/>
        </w:rPr>
        <w:t>Shares underlying the options granted under the LTPIP Program may be earned based on the achievement of the performance-based requirement based on stock price goals and/or certain operational milestones based on approval by the U.S. Food and Drug Administration of a Biologics License Application in respect of a first, second, and third major indication and based on sales. The performance-based requirement and operational milestones were not achieved as of December 31, 2025.</w:t>
      </w:r>
    </w:p>
    <w:p>
      <w:pPr>
        <w:spacing w:after="0" w:line="77" w:lineRule="exact"/>
        <w:rPr>
          <w:sz w:val="20"/>
          <w:szCs w:val="20"/>
          <w:color w:val="auto"/>
        </w:rPr>
      </w:pPr>
    </w:p>
    <w:p>
      <w:pPr>
        <w:ind w:right="400" w:firstLine="490"/>
        <w:spacing w:after="0" w:line="249" w:lineRule="auto"/>
        <w:rPr>
          <w:sz w:val="20"/>
          <w:szCs w:val="20"/>
          <w:color w:val="auto"/>
        </w:rPr>
      </w:pPr>
      <w:r>
        <w:rPr>
          <w:rFonts w:ascii="Times New Roman" w:cs="Times New Roman" w:eastAsia="Times New Roman" w:hAnsi="Times New Roman"/>
          <w:sz w:val="20"/>
          <w:szCs w:val="20"/>
          <w:color w:val="auto"/>
        </w:rPr>
        <w:t>The Company determined the exchange of the original award of annual equity incentive awards with the modified award of options granted under the LTPIP Program represented a change in the original terms and conditions. The modification resulted in additional compensation cost equal to the incremental value between the original and modified awards to be recognized. For the annual equity incentive awards, the Company recorded the unrecognized compensation expense over the original vesting period.</w:t>
      </w:r>
    </w:p>
    <w:p>
      <w:pPr>
        <w:spacing w:after="0" w:line="77"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there was $48.8 million of unrecognized stock-based compensation expense related to the 5,659,816 outstanding options granted under the LTPIP Program, but not yet earned or vested, to be recognized over a weighted-average period of 1.11 years.</w:t>
      </w:r>
    </w:p>
    <w:p>
      <w:pPr>
        <w:sectPr>
          <w:pgSz w:w="12240" w:h="15840" w:orient="portrait"/>
          <w:cols w:equalWidth="0" w:num="1">
            <w:col w:w="10060"/>
          </w:cols>
          <w:pgMar w:left="1080" w:top="717"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60"/>
          </w:cols>
          <w:pgMar w:left="1080" w:top="717" w:right="1100" w:bottom="175" w:gutter="0" w:footer="0" w:header="0"/>
          <w:type w:val="continuous"/>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2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Stock option activity, including stock options and performance-based stock options under the 2021 LTPIP, 2018 Plan and 2015 Plan is summarized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Remaining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Aggregate</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Contractual</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Intrinsic</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Term</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53"/>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26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240" w:type="dxa"/>
            <w:vAlign w:val="bottom"/>
          </w:tcPr>
          <w:p>
            <w:pPr>
              <w:spacing w:after="0"/>
              <w:rPr>
                <w:sz w:val="22"/>
                <w:szCs w:val="22"/>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0" w:type="dxa"/>
            <w:vAlign w:val="bottom"/>
          </w:tcPr>
          <w:p>
            <w:pPr>
              <w:spacing w:after="0"/>
              <w:rPr>
                <w:sz w:val="1"/>
                <w:szCs w:val="1"/>
                <w:color w:val="auto"/>
              </w:rPr>
            </w:pPr>
          </w:p>
        </w:tc>
      </w:tr>
      <w:tr>
        <w:trPr>
          <w:trHeight w:val="234"/>
        </w:trPr>
        <w:tc>
          <w:tcPr>
            <w:tcW w:w="3980" w:type="dxa"/>
            <w:vAlign w:val="bottom"/>
            <w:vMerge w:val="continue"/>
          </w:tcPr>
          <w:p>
            <w:pPr>
              <w:jc w:val="right"/>
              <w:ind w:right="8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19,873,073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36.06</w:t>
            </w:r>
          </w:p>
        </w:tc>
        <w:tc>
          <w:tcPr>
            <w:tcW w:w="26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51,018</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Granted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3,784,474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Exercised ............................................................</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(925,813)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canceled ..........................................</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(508,498)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....................OutstandingatDecember31,2025</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22,223,236</w:t>
            </w: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328,282</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exercisable as of December 31, 2025</w:t>
            </w: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30.46</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185,993</w:t>
            </w:r>
          </w:p>
        </w:tc>
        <w:tc>
          <w:tcPr>
            <w:tcW w:w="0" w:type="dxa"/>
            <w:vAlign w:val="bottom"/>
          </w:tcPr>
          <w:p>
            <w:pPr>
              <w:spacing w:after="0" w:line="20" w:lineRule="exact"/>
              <w:rPr>
                <w:sz w:val="1"/>
                <w:szCs w:val="1"/>
                <w:color w:val="auto"/>
              </w:rPr>
            </w:pPr>
          </w:p>
        </w:tc>
      </w:tr>
      <w:tr>
        <w:trPr>
          <w:trHeight w:val="229"/>
        </w:trPr>
        <w:tc>
          <w:tcPr>
            <w:tcW w:w="3980" w:type="dxa"/>
            <w:vAlign w:val="bottom"/>
            <w:vMerge w:val="continue"/>
          </w:tcPr>
          <w:p>
            <w:pPr>
              <w:jc w:val="right"/>
              <w:ind w:right="80"/>
              <w:spacing w:after="0" w:line="185"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12,741,012</w:t>
            </w:r>
          </w:p>
        </w:tc>
        <w:tc>
          <w:tcPr>
            <w:tcW w:w="16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The weighted-average grant date fair value of time-vested stock options granted for 2025, 2024 and 2023 was $2.98, $1.74 and $4.51 per share, respectively. The total intrinsic value of stock options exercised during 2025, 2024 and 2023 was $15.3 million, $0.3 million, and not significant, respectively. The intrinsic value represents the amount by which the market price of the underlying stock exceeds the exercise price of an option.</w:t>
      </w:r>
    </w:p>
    <w:p>
      <w:pPr>
        <w:spacing w:after="0" w:line="74"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auto"/>
        </w:rPr>
        <w:t>The Company estimated the fair value of stock options using the Black-Scholes valuation model. The fair value of time-vested stock options was estimated using the following weighted-average assumptions: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3"/>
        </w:trPr>
        <w:tc>
          <w:tcPr>
            <w:tcW w:w="45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80" w:type="dxa"/>
            <w:vAlign w:val="bottom"/>
          </w:tcPr>
          <w:p>
            <w:pPr>
              <w:spacing w:after="0"/>
              <w:rPr>
                <w:sz w:val="22"/>
                <w:szCs w:val="22"/>
                <w:color w:val="auto"/>
              </w:rPr>
            </w:pPr>
          </w:p>
        </w:tc>
        <w:tc>
          <w:tcPr>
            <w:tcW w:w="15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r>
      <w:tr>
        <w:trPr>
          <w:trHeight w:val="234"/>
        </w:trPr>
        <w:tc>
          <w:tcPr>
            <w:tcW w:w="45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.......................................................Expectedvolatility</w:t>
            </w:r>
          </w:p>
        </w:tc>
        <w:tc>
          <w:tcPr>
            <w:tcW w:w="10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95%</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92%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44"/>
        </w:trPr>
        <w:tc>
          <w:tcPr>
            <w:tcW w:w="5560" w:type="dxa"/>
            <w:vAlign w:val="bottom"/>
            <w:gridSpan w:val="2"/>
          </w:tcPr>
          <w:p>
            <w:pPr>
              <w:jc w:val="right"/>
              <w:ind w:right="1160"/>
              <w:spacing w:after="0"/>
              <w:rPr>
                <w:sz w:val="20"/>
                <w:szCs w:val="20"/>
                <w:color w:val="auto"/>
              </w:rPr>
            </w:pPr>
            <w:r>
              <w:rPr>
                <w:rFonts w:ascii="Times New Roman" w:cs="Times New Roman" w:eastAsia="Times New Roman" w:hAnsi="Times New Roman"/>
                <w:sz w:val="20"/>
                <w:szCs w:val="20"/>
                <w:color w:val="auto"/>
                <w:w w:val="98"/>
              </w:rPr>
              <w:t>Risk-free interest rate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3.80%</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3.92%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w:t>
            </w:r>
          </w:p>
        </w:tc>
      </w:tr>
      <w:tr>
        <w:trPr>
          <w:trHeight w:val="244"/>
        </w:trPr>
        <w:tc>
          <w:tcPr>
            <w:tcW w:w="5560" w:type="dxa"/>
            <w:vAlign w:val="bottom"/>
            <w:gridSpan w:val="2"/>
          </w:tcPr>
          <w:p>
            <w:pPr>
              <w:jc w:val="right"/>
              <w:ind w:right="1160"/>
              <w:spacing w:after="0"/>
              <w:rPr>
                <w:sz w:val="20"/>
                <w:szCs w:val="20"/>
                <w:color w:val="auto"/>
              </w:rPr>
            </w:pPr>
            <w:r>
              <w:rPr>
                <w:rFonts w:ascii="Times New Roman" w:cs="Times New Roman" w:eastAsia="Times New Roman" w:hAnsi="Times New Roman"/>
                <w:sz w:val="20"/>
                <w:szCs w:val="20"/>
                <w:color w:val="auto"/>
                <w:w w:val="98"/>
              </w:rPr>
              <w:t>Dividend yield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6"/>
        </w:trPr>
        <w:tc>
          <w:tcPr>
            <w:tcW w:w="5560" w:type="dxa"/>
            <w:vAlign w:val="bottom"/>
            <w:gridSpan w:val="2"/>
          </w:tcPr>
          <w:p>
            <w:pPr>
              <w:jc w:val="right"/>
              <w:ind w:right="1160"/>
              <w:spacing w:after="0"/>
              <w:rPr>
                <w:sz w:val="20"/>
                <w:szCs w:val="20"/>
                <w:color w:val="auto"/>
              </w:rPr>
            </w:pPr>
            <w:r>
              <w:rPr>
                <w:rFonts w:ascii="Times New Roman" w:cs="Times New Roman" w:eastAsia="Times New Roman" w:hAnsi="Times New Roman"/>
                <w:sz w:val="20"/>
                <w:szCs w:val="20"/>
                <w:color w:val="auto"/>
                <w:w w:val="99"/>
              </w:rPr>
              <w:t>Expected term ..............................................................</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3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3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-817880</wp:posOffset>
            </wp:positionV>
            <wp:extent cx="344551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3445510" cy="381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Shares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Restricted share activity, including restricted stock units and performance-based restricted stock units, under the 2018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is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Restricted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0" w:type="dxa"/>
            <w:vAlign w:val="bottom"/>
          </w:tcPr>
          <w:p>
            <w:pPr>
              <w:spacing w:after="0"/>
              <w:rPr>
                <w:sz w:val="1"/>
                <w:szCs w:val="1"/>
                <w:color w:val="auto"/>
              </w:rPr>
            </w:pPr>
          </w:p>
        </w:tc>
      </w:tr>
      <w:tr>
        <w:trPr>
          <w:trHeight w:val="253"/>
        </w:trPr>
        <w:tc>
          <w:tcPr>
            <w:tcW w:w="5820" w:type="dxa"/>
            <w:vAlign w:val="bottom"/>
            <w:vMerge w:val="restart"/>
          </w:tcPr>
          <w:p>
            <w:pPr>
              <w:jc w:val="right"/>
              <w:ind w:right="3140"/>
              <w:spacing w:after="0"/>
              <w:rPr>
                <w:sz w:val="20"/>
                <w:szCs w:val="20"/>
                <w:color w:val="auto"/>
              </w:rPr>
            </w:pPr>
            <w:r>
              <w:rPr>
                <w:rFonts w:ascii="Times New Roman" w:cs="Times New Roman" w:eastAsia="Times New Roman" w:hAnsi="Times New Roman"/>
                <w:sz w:val="20"/>
                <w:szCs w:val="20"/>
                <w:color w:val="auto"/>
                <w:w w:val="99"/>
              </w:rPr>
              <w:t>Unvested at December 31, 2024</w:t>
            </w: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06"/>
        </w:trPr>
        <w:tc>
          <w:tcPr>
            <w:tcW w:w="5820" w:type="dxa"/>
            <w:vAlign w:val="bottom"/>
            <w:vMerge w:val="continue"/>
          </w:tcPr>
          <w:p>
            <w:pPr>
              <w:jc w:val="right"/>
              <w:ind w:right="140"/>
              <w:spacing w:after="0" w:line="182" w:lineRule="exact"/>
              <w:rPr>
                <w:sz w:val="20"/>
                <w:szCs w:val="20"/>
                <w:color w:val="auto"/>
              </w:rPr>
            </w:pPr>
            <w:r>
              <w:rPr>
                <w:rFonts w:ascii="Times New Roman" w:cs="Times New Roman" w:eastAsia="Times New Roman" w:hAnsi="Times New Roman"/>
                <w:sz w:val="20"/>
                <w:szCs w:val="20"/>
                <w:color w:val="auto"/>
              </w:rPr>
              <w:t>............................................................</w:t>
            </w:r>
          </w:p>
        </w:tc>
        <w:tc>
          <w:tcPr>
            <w:tcW w:w="19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121,660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0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16.08</w:t>
            </w:r>
          </w:p>
        </w:tc>
        <w:tc>
          <w:tcPr>
            <w:tcW w:w="0" w:type="dxa"/>
            <w:vAlign w:val="bottom"/>
          </w:tcPr>
          <w:p>
            <w:pPr>
              <w:spacing w:after="0"/>
              <w:rPr>
                <w:sz w:val="1"/>
                <w:szCs w:val="1"/>
                <w:color w:val="auto"/>
              </w:rPr>
            </w:pPr>
          </w:p>
        </w:tc>
      </w:tr>
      <w:tr>
        <w:trPr>
          <w:trHeight w:val="230"/>
        </w:trPr>
        <w:tc>
          <w:tcPr>
            <w:tcW w:w="58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0" w:type="dxa"/>
            <w:vAlign w:val="bottom"/>
          </w:tcPr>
          <w:p>
            <w:pPr>
              <w:spacing w:after="0"/>
              <w:rPr>
                <w:sz w:val="1"/>
                <w:szCs w:val="1"/>
                <w:color w:val="auto"/>
              </w:rPr>
            </w:pPr>
          </w:p>
        </w:tc>
      </w:tr>
      <w:tr>
        <w:trPr>
          <w:trHeight w:val="230"/>
        </w:trPr>
        <w:tc>
          <w:tcPr>
            <w:tcW w:w="58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Vested ....................................................................................................</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(45,190)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34.88</w:t>
            </w:r>
          </w:p>
        </w:tc>
        <w:tc>
          <w:tcPr>
            <w:tcW w:w="0" w:type="dxa"/>
            <w:vAlign w:val="bottom"/>
          </w:tcPr>
          <w:p>
            <w:pPr>
              <w:spacing w:after="0"/>
              <w:rPr>
                <w:sz w:val="1"/>
                <w:szCs w:val="1"/>
                <w:color w:val="auto"/>
              </w:rPr>
            </w:pPr>
          </w:p>
        </w:tc>
      </w:tr>
      <w:tr>
        <w:trPr>
          <w:trHeight w:val="249"/>
        </w:trPr>
        <w:tc>
          <w:tcPr>
            <w:tcW w:w="58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Canceled.................................................................................................</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(10,950)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w:t>
            </w:r>
          </w:p>
        </w:tc>
        <w:tc>
          <w:tcPr>
            <w:tcW w:w="0" w:type="dxa"/>
            <w:vAlign w:val="bottom"/>
          </w:tcPr>
          <w:p>
            <w:pPr>
              <w:spacing w:after="0"/>
              <w:rPr>
                <w:sz w:val="1"/>
                <w:szCs w:val="1"/>
                <w:color w:val="auto"/>
              </w:rPr>
            </w:pPr>
          </w:p>
        </w:tc>
      </w:tr>
      <w:tr>
        <w:trPr>
          <w:trHeight w:val="225"/>
        </w:trPr>
        <w:tc>
          <w:tcPr>
            <w:tcW w:w="5820" w:type="dxa"/>
            <w:vAlign w:val="bottom"/>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............................................................UnvestedatDecember31,2025</w:t>
            </w:r>
          </w:p>
        </w:tc>
        <w:tc>
          <w:tcPr>
            <w:tcW w:w="19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120,820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5.58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The total fair value of RSUs vested during the years ended December 31, 2025, 2024, and 2023 was $0.4 million, $0.3 million and $0.8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Awards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In December 2019, the Company granted 170,150 performance-based stock options and 128,900 performance-based RSUs (collectively “2019 PSA”). These equity awards vest 25% upon the achievement of specific clinical development milestones. The remaining awards would then vest in three equal annual installments after that date. The performance criteria for 2019 PSA was achieved in June 2021 and the awards became fully vested during 2024.</w:t>
      </w:r>
    </w:p>
    <w:p>
      <w:pPr>
        <w:sectPr>
          <w:pgSz w:w="12240" w:h="15840" w:orient="portrait"/>
          <w:cols w:equalWidth="0" w:num="1">
            <w:col w:w="10040"/>
          </w:cols>
          <w:pgMar w:left="1080" w:top="717"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40"/>
          </w:cols>
          <w:pgMar w:left="1080" w:top="717" w:right="1120" w:bottom="175"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auto"/>
        </w:rPr>
        <w:t>The Company estimated the fair value of the 2019 PSA using the Black-Scholes valuation model and significant assumptions included an expected volatility of 72%, a risk-free rate of 1.67%, expected dividend yield of 0%, and expected term of 6.31 years.</w:t>
      </w:r>
    </w:p>
    <w:p>
      <w:pPr>
        <w:spacing w:after="0" w:line="6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In February 2021, the Company granted 190,831 performance-based stock options (“2021 Feb PSO”). These stock options vest 25% upon the achievement of specific clinical development milestones. The remaining awards then vest in 36 successive equal monthly installments after the performance criteria is achieved. The performance criteria for 2021 Feb PSOs was achieved in February 2022 and the awards became fully vested in 2025.</w:t>
      </w:r>
    </w:p>
    <w:p>
      <w:pPr>
        <w:spacing w:after="0" w:line="74"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The Company estimated the fair value of the 2021 Feb PSO using the Black-Scholes valuation model. Significant assumptions utilized in estimating the fair value of 2021 Feb PSO include an expected volatility of 66%, a risk-free rate of 0.66%, expected dividend yield of 0%, and expected term of 5.94 years.</w:t>
      </w:r>
    </w:p>
    <w:p>
      <w:pPr>
        <w:spacing w:after="0" w:line="68" w:lineRule="exact"/>
        <w:rPr>
          <w:sz w:val="20"/>
          <w:szCs w:val="20"/>
          <w:color w:val="auto"/>
        </w:rPr>
      </w:pPr>
    </w:p>
    <w:p>
      <w:pPr>
        <w:ind w:right="340" w:firstLine="490"/>
        <w:spacing w:after="0" w:line="249" w:lineRule="auto"/>
        <w:rPr>
          <w:sz w:val="20"/>
          <w:szCs w:val="20"/>
          <w:color w:val="auto"/>
        </w:rPr>
      </w:pPr>
      <w:r>
        <w:rPr>
          <w:rFonts w:ascii="Times New Roman" w:cs="Times New Roman" w:eastAsia="Times New Roman" w:hAnsi="Times New Roman"/>
          <w:sz w:val="20"/>
          <w:szCs w:val="20"/>
          <w:color w:val="auto"/>
        </w:rPr>
        <w:t>In August 2021, the Company granted 478,750 performance-based stock options (“2021 Aug PSO”). These stock options vest upon the achievement of specific clinical development milestones with the percentage of shares earned being dependent on the relative total stockholder return over the performance period. On December 31, 2023, the requisite performance criteria for the 2021 Aug PSO was not achieved and the shares were cancelled and returned to the plan. No stock-based compensation expense was recognized related to these stock options.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2018 Employee Share Purchase Plan</w:t>
      </w:r>
    </w:p>
    <w:p>
      <w:pPr>
        <w:spacing w:after="0" w:line="12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Each offering period is 12 months long, with two purchase periods. ESPP participants will purchase shares of common stock at a price per share equal to 85% of the lesser of</w:t>
      </w:r>
    </w:p>
    <w:p>
      <w:pPr>
        <w:spacing w:after="0" w:line="1" w:lineRule="exact"/>
        <w:rPr>
          <w:sz w:val="20"/>
          <w:szCs w:val="20"/>
          <w:color w:val="auto"/>
        </w:rPr>
      </w:pPr>
    </w:p>
    <w:p>
      <w:pPr>
        <w:ind w:right="300"/>
        <w:spacing w:after="0" w:line="248" w:lineRule="auto"/>
        <w:tabs>
          <w:tab w:leader="none" w:pos="28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per share of the common stock on the enrollment date or (2) the fair market value of the common stock on the exercise date.</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issued 60,535 shares under the ESPP during the year ended December 31,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Stock-based compensation is classified in the consolidated statements of operations and comprehensive loss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140" w:type="dxa"/>
            <w:vAlign w:val="bottom"/>
            <w:gridSpan w:val="6"/>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520" w:type="dxa"/>
            <w:vAlign w:val="bottom"/>
            <w:vMerge w:val="restart"/>
          </w:tcPr>
          <w:p>
            <w:pPr>
              <w:jc w:val="right"/>
              <w:ind w:right="2260"/>
              <w:spacing w:after="0"/>
              <w:rPr>
                <w:sz w:val="20"/>
                <w:szCs w:val="20"/>
                <w:color w:val="auto"/>
              </w:rPr>
            </w:pPr>
            <w:r>
              <w:rPr>
                <w:rFonts w:ascii="Times New Roman" w:cs="Times New Roman" w:eastAsia="Times New Roman" w:hAnsi="Times New Roman"/>
                <w:sz w:val="20"/>
                <w:szCs w:val="20"/>
                <w:color w:val="auto"/>
                <w:w w:val="99"/>
              </w:rPr>
              <w:t>Research and development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3"/>
        </w:trPr>
        <w:tc>
          <w:tcPr>
            <w:tcW w:w="4520" w:type="dxa"/>
            <w:vAlign w:val="bottom"/>
            <w:vMerge w:val="continue"/>
          </w:tcPr>
          <w:p>
            <w:pPr>
              <w:jc w:val="right"/>
              <w:ind w:right="1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29,503</w:t>
            </w:r>
          </w:p>
        </w:tc>
        <w:tc>
          <w:tcPr>
            <w:tcW w:w="260" w:type="dxa"/>
            <w:vAlign w:val="bottom"/>
          </w:tcPr>
          <w:p>
            <w:pPr>
              <w:spacing w:after="0"/>
              <w:rPr>
                <w:sz w:val="20"/>
                <w:szCs w:val="20"/>
                <w:color w:val="auto"/>
              </w:rPr>
            </w:pPr>
          </w:p>
        </w:tc>
        <w:tc>
          <w:tcPr>
            <w:tcW w:w="3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24,162</w:t>
            </w:r>
          </w:p>
        </w:tc>
        <w:tc>
          <w:tcPr>
            <w:tcW w:w="260" w:type="dxa"/>
            <w:vAlign w:val="bottom"/>
          </w:tcPr>
          <w:p>
            <w:pPr>
              <w:spacing w:after="0"/>
              <w:rPr>
                <w:sz w:val="20"/>
                <w:szCs w:val="20"/>
                <w:color w:val="auto"/>
              </w:rPr>
            </w:pPr>
          </w:p>
        </w:tc>
        <w:tc>
          <w:tcPr>
            <w:tcW w:w="3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44,014</w:t>
            </w:r>
          </w:p>
        </w:tc>
        <w:tc>
          <w:tcPr>
            <w:tcW w:w="0" w:type="dxa"/>
            <w:vAlign w:val="bottom"/>
          </w:tcPr>
          <w:p>
            <w:pPr>
              <w:spacing w:after="0"/>
              <w:rPr>
                <w:sz w:val="1"/>
                <w:szCs w:val="1"/>
                <w:color w:val="auto"/>
              </w:rPr>
            </w:pPr>
          </w:p>
        </w:tc>
      </w:tr>
      <w:tr>
        <w:trPr>
          <w:trHeight w:val="250"/>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General and administrative ..........................................</w:t>
            </w:r>
          </w:p>
        </w:tc>
        <w:tc>
          <w:tcPr>
            <w:tcW w:w="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29,360</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36,051</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44,542</w:t>
            </w:r>
          </w:p>
        </w:tc>
        <w:tc>
          <w:tcPr>
            <w:tcW w:w="0" w:type="dxa"/>
            <w:vAlign w:val="bottom"/>
          </w:tcPr>
          <w:p>
            <w:pPr>
              <w:spacing w:after="0"/>
              <w:rPr>
                <w:sz w:val="1"/>
                <w:szCs w:val="1"/>
                <w:color w:val="auto"/>
              </w:rPr>
            </w:pPr>
          </w:p>
        </w:tc>
      </w:tr>
      <w:tr>
        <w:trPr>
          <w:trHeight w:val="239"/>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..................................Totalstock-basedcompensation</w:t>
            </w:r>
          </w:p>
        </w:tc>
        <w:tc>
          <w:tcPr>
            <w:tcW w:w="20" w:type="dxa"/>
            <w:vAlign w:val="bottom"/>
          </w:tcPr>
          <w:p>
            <w:pPr>
              <w:spacing w:after="0"/>
              <w:rPr>
                <w:sz w:val="20"/>
                <w:szCs w:val="20"/>
                <w:color w:val="auto"/>
              </w:rPr>
            </w:pPr>
          </w:p>
        </w:tc>
        <w:tc>
          <w:tcPr>
            <w:tcW w:w="104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58,863</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60,213</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88,556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-690880</wp:posOffset>
            </wp:positionV>
            <wp:extent cx="35325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3532505" cy="38100"/>
                    </a:xfrm>
                    <a:prstGeom prst="rect">
                      <a:avLst/>
                    </a:prstGeom>
                    <a:noFill/>
                  </pic:spPr>
                </pic:pic>
              </a:graphicData>
            </a:graphic>
          </wp:anchor>
        </w:drawing>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is a summary of stock-based compensation expense by award type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140" w:type="dxa"/>
            <w:vAlign w:val="bottom"/>
            <w:gridSpan w:val="6"/>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520" w:type="dxa"/>
            <w:vAlign w:val="bottom"/>
            <w:vMerge w:val="restart"/>
          </w:tcPr>
          <w:p>
            <w:pPr>
              <w:jc w:val="right"/>
              <w:ind w:right="3140"/>
              <w:spacing w:after="0"/>
              <w:rPr>
                <w:sz w:val="20"/>
                <w:szCs w:val="20"/>
                <w:color w:val="auto"/>
              </w:rPr>
            </w:pPr>
            <w:r>
              <w:rPr>
                <w:rFonts w:ascii="Times New Roman" w:cs="Times New Roman" w:eastAsia="Times New Roman" w:hAnsi="Times New Roman"/>
                <w:sz w:val="20"/>
                <w:szCs w:val="20"/>
                <w:color w:val="auto"/>
                <w:w w:val="99"/>
              </w:rPr>
              <w:t>LTPIP Program</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3"/>
        </w:trPr>
        <w:tc>
          <w:tcPr>
            <w:tcW w:w="4520" w:type="dxa"/>
            <w:vAlign w:val="bottom"/>
            <w:vMerge w:val="continue"/>
          </w:tcPr>
          <w:p>
            <w:pPr>
              <w:jc w:val="right"/>
              <w:ind w:right="1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47,585</w:t>
            </w:r>
          </w:p>
        </w:tc>
        <w:tc>
          <w:tcPr>
            <w:tcW w:w="260" w:type="dxa"/>
            <w:vAlign w:val="bottom"/>
          </w:tcPr>
          <w:p>
            <w:pPr>
              <w:spacing w:after="0"/>
              <w:rPr>
                <w:sz w:val="20"/>
                <w:szCs w:val="20"/>
                <w:color w:val="auto"/>
              </w:rPr>
            </w:pPr>
          </w:p>
        </w:tc>
        <w:tc>
          <w:tcPr>
            <w:tcW w:w="3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42,889</w:t>
            </w:r>
          </w:p>
        </w:tc>
        <w:tc>
          <w:tcPr>
            <w:tcW w:w="260" w:type="dxa"/>
            <w:vAlign w:val="bottom"/>
          </w:tcPr>
          <w:p>
            <w:pPr>
              <w:spacing w:after="0"/>
              <w:rPr>
                <w:sz w:val="20"/>
                <w:szCs w:val="20"/>
                <w:color w:val="auto"/>
              </w:rPr>
            </w:pPr>
          </w:p>
        </w:tc>
        <w:tc>
          <w:tcPr>
            <w:tcW w:w="3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53,710</w:t>
            </w:r>
          </w:p>
        </w:tc>
        <w:tc>
          <w:tcPr>
            <w:tcW w:w="0" w:type="dxa"/>
            <w:vAlign w:val="bottom"/>
          </w:tcPr>
          <w:p>
            <w:pPr>
              <w:spacing w:after="0"/>
              <w:rPr>
                <w:sz w:val="1"/>
                <w:szCs w:val="1"/>
                <w:color w:val="auto"/>
              </w:rPr>
            </w:pPr>
          </w:p>
        </w:tc>
      </w:tr>
      <w:tr>
        <w:trPr>
          <w:trHeight w:val="244"/>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Stock options ...............................................................</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27,472</w:t>
            </w:r>
          </w:p>
        </w:tc>
        <w:tc>
          <w:tcPr>
            <w:tcW w:w="0" w:type="dxa"/>
            <w:vAlign w:val="bottom"/>
          </w:tcPr>
          <w:p>
            <w:pPr>
              <w:spacing w:after="0"/>
              <w:rPr>
                <w:sz w:val="1"/>
                <w:szCs w:val="1"/>
                <w:color w:val="auto"/>
              </w:rPr>
            </w:pPr>
          </w:p>
        </w:tc>
      </w:tr>
      <w:tr>
        <w:trPr>
          <w:trHeight w:val="244"/>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RSUs ............................................................................</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4,968</w:t>
            </w:r>
          </w:p>
        </w:tc>
        <w:tc>
          <w:tcPr>
            <w:tcW w:w="0" w:type="dxa"/>
            <w:vAlign w:val="bottom"/>
          </w:tcPr>
          <w:p>
            <w:pPr>
              <w:spacing w:after="0"/>
              <w:rPr>
                <w:sz w:val="1"/>
                <w:szCs w:val="1"/>
                <w:color w:val="auto"/>
              </w:rPr>
            </w:pPr>
          </w:p>
        </w:tc>
      </w:tr>
      <w:tr>
        <w:trPr>
          <w:trHeight w:val="244"/>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ESPP ............................................................................</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0" w:type="dxa"/>
            <w:vAlign w:val="bottom"/>
          </w:tcPr>
          <w:p>
            <w:pPr>
              <w:spacing w:after="0"/>
              <w:rPr>
                <w:sz w:val="1"/>
                <w:szCs w:val="1"/>
                <w:color w:val="auto"/>
              </w:rPr>
            </w:pPr>
          </w:p>
        </w:tc>
      </w:tr>
      <w:tr>
        <w:trPr>
          <w:trHeight w:val="250"/>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Performance-based awards ..........................................</w:t>
            </w:r>
          </w:p>
        </w:tc>
        <w:tc>
          <w:tcPr>
            <w:tcW w:w="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2,191</w:t>
            </w:r>
          </w:p>
        </w:tc>
        <w:tc>
          <w:tcPr>
            <w:tcW w:w="0" w:type="dxa"/>
            <w:vAlign w:val="bottom"/>
          </w:tcPr>
          <w:p>
            <w:pPr>
              <w:spacing w:after="0"/>
              <w:rPr>
                <w:sz w:val="1"/>
                <w:szCs w:val="1"/>
                <w:color w:val="auto"/>
              </w:rPr>
            </w:pPr>
          </w:p>
        </w:tc>
      </w:tr>
      <w:tr>
        <w:trPr>
          <w:trHeight w:val="239"/>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..................................Totalstock-basedcompensation</w:t>
            </w:r>
          </w:p>
        </w:tc>
        <w:tc>
          <w:tcPr>
            <w:tcW w:w="20" w:type="dxa"/>
            <w:vAlign w:val="bottom"/>
          </w:tcPr>
          <w:p>
            <w:pPr>
              <w:spacing w:after="0"/>
              <w:rPr>
                <w:sz w:val="20"/>
                <w:szCs w:val="20"/>
                <w:color w:val="auto"/>
              </w:rPr>
            </w:pPr>
          </w:p>
        </w:tc>
        <w:tc>
          <w:tcPr>
            <w:tcW w:w="104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58,863</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60,213</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88,556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-1155065</wp:posOffset>
            </wp:positionV>
            <wp:extent cx="35325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3532505" cy="38100"/>
                    </a:xfrm>
                    <a:prstGeom prst="rect">
                      <a:avLst/>
                    </a:prstGeom>
                    <a:noFill/>
                  </pic:spPr>
                </pic:pic>
              </a:graphicData>
            </a:graphic>
          </wp:anchor>
        </w:drawing>
      </w:r>
    </w:p>
    <w:p>
      <w:pPr>
        <w:spacing w:after="0" w:line="19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had $67.7 million of unrecognized compensation expense related to unvested share-based awards including options granted under the LTPIP Program and ESPP, which is expected to be recognized over a weighted-average period of 1.51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Segment Information</w:t>
      </w:r>
    </w:p>
    <w:p>
      <w:pPr>
        <w:spacing w:after="0" w:line="124"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The Company operates and manages its business as one operating and reportable segment, which is the business of researching, developing and commercializing transformative therapeutics to treat a broad spectrum of retinal diseases. The</w:t>
      </w:r>
    </w:p>
    <w:p>
      <w:pPr>
        <w:sectPr>
          <w:pgSz w:w="12240" w:h="15840" w:orient="portrait"/>
          <w:cols w:equalWidth="0" w:num="1">
            <w:col w:w="10080"/>
          </w:cols>
          <w:pgMar w:left="1080" w:top="717" w:right="1080" w:bottom="175"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80"/>
          </w:cols>
          <w:pgMar w:left="1080" w:top="717" w:right="1080" w:bottom="175" w:gutter="0" w:footer="0" w:header="0"/>
          <w:type w:val="continuous"/>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chief operating decision maker (“CODM”) is the Chief Executive Officer. The CODM uses net loss to allocate resources and assess performance when making decisions on the timing and extent of the Company's development programs for its product candidates. The assets are managed on a consolidated basis as reported on the consolidated balance sheets.</w:t>
      </w:r>
    </w:p>
    <w:p>
      <w:pPr>
        <w:spacing w:after="0" w:line="68"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auto"/>
        </w:rPr>
        <w:t>The significant expense categories within net loss are presented on the consolidated statements of operations. The research and development expenses have been disaggregated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40" w:type="dxa"/>
            <w:vAlign w:val="bottom"/>
            <w:gridSpan w:val="6"/>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Tarcocimab program expenses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4"/>
        </w:trPr>
        <w:tc>
          <w:tcPr>
            <w:tcW w:w="4520" w:type="dxa"/>
            <w:vAlign w:val="bottom"/>
            <w:vMerge w:val="continue"/>
          </w:tcPr>
          <w:p>
            <w:pPr>
              <w:jc w:val="right"/>
              <w:ind w:right="1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54,049</w:t>
            </w:r>
          </w:p>
        </w:tc>
        <w:tc>
          <w:tcPr>
            <w:tcW w:w="260" w:type="dxa"/>
            <w:vAlign w:val="bottom"/>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39,496</w:t>
            </w:r>
          </w:p>
        </w:tc>
        <w:tc>
          <w:tcPr>
            <w:tcW w:w="260" w:type="dxa"/>
            <w:vAlign w:val="bottom"/>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90,513</w:t>
            </w:r>
          </w:p>
        </w:tc>
        <w:tc>
          <w:tcPr>
            <w:tcW w:w="0" w:type="dxa"/>
            <w:vAlign w:val="bottom"/>
          </w:tcPr>
          <w:p>
            <w:pPr>
              <w:spacing w:after="0"/>
              <w:rPr>
                <w:sz w:val="1"/>
                <w:szCs w:val="1"/>
                <w:color w:val="auto"/>
              </w:rPr>
            </w:pPr>
          </w:p>
        </w:tc>
      </w:tr>
      <w:tr>
        <w:trPr>
          <w:trHeight w:val="244"/>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KSI-501 and KSI-101 program expenses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28,980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7,264</w:t>
            </w:r>
          </w:p>
        </w:tc>
        <w:tc>
          <w:tcPr>
            <w:tcW w:w="0" w:type="dxa"/>
            <w:vAlign w:val="bottom"/>
          </w:tcPr>
          <w:p>
            <w:pPr>
              <w:spacing w:after="0"/>
              <w:rPr>
                <w:sz w:val="1"/>
                <w:szCs w:val="1"/>
                <w:color w:val="auto"/>
              </w:rPr>
            </w:pPr>
          </w:p>
        </w:tc>
      </w:tr>
      <w:tr>
        <w:trPr>
          <w:trHeight w:val="244"/>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ABC Platform and other program expenses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23,776</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20,997</w:t>
            </w:r>
          </w:p>
        </w:tc>
        <w:tc>
          <w:tcPr>
            <w:tcW w:w="0" w:type="dxa"/>
            <w:vAlign w:val="bottom"/>
          </w:tcPr>
          <w:p>
            <w:pPr>
              <w:spacing w:after="0"/>
              <w:rPr>
                <w:sz w:val="1"/>
                <w:szCs w:val="1"/>
                <w:color w:val="auto"/>
              </w:rPr>
            </w:pPr>
          </w:p>
        </w:tc>
      </w:tr>
      <w:tr>
        <w:trPr>
          <w:trHeight w:val="244"/>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Payroll and personnel expenses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56,082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45,522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65,382</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Facilities and other research and development</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expenses .......................................................................</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19,486</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19,667</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22,142</w:t>
            </w:r>
          </w:p>
        </w:tc>
        <w:tc>
          <w:tcPr>
            <w:tcW w:w="0" w:type="dxa"/>
            <w:vAlign w:val="bottom"/>
          </w:tcPr>
          <w:p>
            <w:pPr>
              <w:spacing w:after="0"/>
              <w:rPr>
                <w:sz w:val="1"/>
                <w:szCs w:val="1"/>
                <w:color w:val="auto"/>
              </w:rPr>
            </w:pPr>
          </w:p>
        </w:tc>
      </w:tr>
      <w:tr>
        <w:trPr>
          <w:trHeight w:val="239"/>
        </w:trPr>
        <w:tc>
          <w:tcPr>
            <w:tcW w:w="4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...................Totalresearchanddevelopmentexpenses</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182,373</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126,095</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206,298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-1301115</wp:posOffset>
            </wp:positionV>
            <wp:extent cx="35325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3532505" cy="3810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Loss per Common Share</w:t>
      </w:r>
    </w:p>
    <w:p>
      <w:pPr>
        <w:spacing w:after="0" w:line="124" w:lineRule="exact"/>
        <w:rPr>
          <w:sz w:val="20"/>
          <w:szCs w:val="20"/>
          <w:color w:val="auto"/>
        </w:rPr>
      </w:pPr>
    </w:p>
    <w:p>
      <w:pPr>
        <w:ind w:right="88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net loss per share attributable to common stockholders (in thousands, except share and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540" w:type="dxa"/>
            <w:vAlign w:val="bottom"/>
            <w:gridSpan w:val="7"/>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Numerator:</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Net loss .............................................................................</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(229,967)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(176,207)</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(260,491)</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Denominator:</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jc w:val="right"/>
              <w:ind w:right="1000"/>
              <w:spacing w:after="0"/>
              <w:rPr>
                <w:sz w:val="20"/>
                <w:szCs w:val="20"/>
                <w:color w:val="auto"/>
              </w:rPr>
            </w:pPr>
            <w:r>
              <w:rPr>
                <w:rFonts w:ascii="Times New Roman" w:cs="Times New Roman" w:eastAsia="Times New Roman" w:hAnsi="Times New Roman"/>
                <w:sz w:val="20"/>
                <w:szCs w:val="20"/>
                <w:color w:val="auto"/>
              </w:rPr>
              <w:t>Weighted-average shares outstanding used in</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computing net loss per share, basic and diluted.............</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53,208,311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52,583,148</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52,414,256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.....................................Netlosspershare,basicanddiluted</w:t>
            </w: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-1155700</wp:posOffset>
            </wp:positionV>
            <wp:extent cx="325564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3255645" cy="38100"/>
                    </a:xfrm>
                    <a:prstGeom prst="rect">
                      <a:avLst/>
                    </a:prstGeom>
                    <a:noFill/>
                  </pic:spPr>
                </pic:pic>
              </a:graphicData>
            </a:graphic>
          </wp:anchor>
        </w:drawing>
      </w:r>
    </w:p>
    <w:p>
      <w:pPr>
        <w:spacing w:after="0" w:line="99"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The following common share equivalents were excluded from the computation of diluted net loss per common share for the periods presented because their inclusion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80" w:type="dxa"/>
            <w:vAlign w:val="bottom"/>
          </w:tcPr>
          <w:p>
            <w:pPr>
              <w:spacing w:after="0"/>
              <w:rPr>
                <w:sz w:val="22"/>
                <w:szCs w:val="22"/>
                <w:color w:val="auto"/>
              </w:rPr>
            </w:pPr>
          </w:p>
        </w:tc>
        <w:tc>
          <w:tcPr>
            <w:tcW w:w="4060" w:type="dxa"/>
            <w:vAlign w:val="bottom"/>
            <w:gridSpan w:val="5"/>
          </w:tcPr>
          <w:p>
            <w:pPr>
              <w:ind w:left="15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680" w:type="dxa"/>
            <w:vAlign w:val="bottom"/>
            <w:vMerge w:val="restart"/>
          </w:tcPr>
          <w:p>
            <w:pPr>
              <w:jc w:val="right"/>
              <w:ind w:right="2500"/>
              <w:spacing w:after="0"/>
              <w:rPr>
                <w:sz w:val="20"/>
                <w:szCs w:val="20"/>
                <w:color w:val="auto"/>
              </w:rPr>
            </w:pPr>
            <w:r>
              <w:rPr>
                <w:rFonts w:ascii="Times New Roman" w:cs="Times New Roman" w:eastAsia="Times New Roman" w:hAnsi="Times New Roman"/>
                <w:sz w:val="20"/>
                <w:szCs w:val="20"/>
                <w:color w:val="auto"/>
                <w:w w:val="98"/>
              </w:rPr>
              <w:t>Outstanding stock options</w:t>
            </w:r>
          </w:p>
        </w:tc>
        <w:tc>
          <w:tcPr>
            <w:tcW w:w="1600" w:type="dxa"/>
            <w:vAlign w:val="bottom"/>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4"/>
        </w:trPr>
        <w:tc>
          <w:tcPr>
            <w:tcW w:w="468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22,223,236</w:t>
            </w:r>
          </w:p>
        </w:tc>
        <w:tc>
          <w:tcPr>
            <w:tcW w:w="26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19,873,073</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17,601,466</w:t>
            </w:r>
          </w:p>
        </w:tc>
        <w:tc>
          <w:tcPr>
            <w:tcW w:w="0" w:type="dxa"/>
            <w:vAlign w:val="bottom"/>
          </w:tcPr>
          <w:p>
            <w:pPr>
              <w:spacing w:after="0"/>
              <w:rPr>
                <w:sz w:val="1"/>
                <w:szCs w:val="1"/>
                <w:color w:val="auto"/>
              </w:rPr>
            </w:pPr>
          </w:p>
        </w:tc>
      </w:tr>
      <w:tr>
        <w:trPr>
          <w:trHeight w:val="244"/>
        </w:trPr>
        <w:tc>
          <w:tcPr>
            <w:tcW w:w="4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Unvested restricted shares ...............................................</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120,820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121,660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164,817</w:t>
            </w:r>
          </w:p>
        </w:tc>
        <w:tc>
          <w:tcPr>
            <w:tcW w:w="0" w:type="dxa"/>
            <w:vAlign w:val="bottom"/>
          </w:tcPr>
          <w:p>
            <w:pPr>
              <w:spacing w:after="0"/>
              <w:rPr>
                <w:sz w:val="1"/>
                <w:szCs w:val="1"/>
                <w:color w:val="auto"/>
              </w:rPr>
            </w:pPr>
          </w:p>
        </w:tc>
      </w:tr>
      <w:tr>
        <w:trPr>
          <w:trHeight w:val="249"/>
        </w:trPr>
        <w:tc>
          <w:tcPr>
            <w:tcW w:w="4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ESPP ................................................................................</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38,203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44,547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70,761</w:t>
            </w:r>
          </w:p>
        </w:tc>
        <w:tc>
          <w:tcPr>
            <w:tcW w:w="0" w:type="dxa"/>
            <w:vAlign w:val="bottom"/>
          </w:tcPr>
          <w:p>
            <w:pPr>
              <w:spacing w:after="0"/>
              <w:rPr>
                <w:sz w:val="1"/>
                <w:szCs w:val="1"/>
                <w:color w:val="auto"/>
              </w:rPr>
            </w:pPr>
          </w:p>
        </w:tc>
      </w:tr>
      <w:tr>
        <w:trPr>
          <w:trHeight w:val="239"/>
        </w:trPr>
        <w:tc>
          <w:tcPr>
            <w:tcW w:w="4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22,382,259</w:t>
            </w:r>
          </w:p>
        </w:tc>
        <w:tc>
          <w:tcPr>
            <w:tcW w:w="26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20,039,280</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17,837,044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-845185</wp:posOffset>
            </wp:positionV>
            <wp:extent cx="342582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3425825" cy="3810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401(k) Plan</w:t>
      </w:r>
    </w:p>
    <w:p>
      <w:pPr>
        <w:spacing w:after="0" w:line="12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In 2011, the Company adopted a 401(k) retirement and savings plan covering all employees. The 401(k) plan allows employees to make pre- and post-tax contributions up to the maximum allowable amount set by the Internal Revenue Service. The 401(k) plan was amended to include an employer matching provision in 2019. The Company will make matching contributions of 100% of employee contributions up to a maximum of $10,250. For the years ended December 31, 2025, 2024 and 2023, expense related to the matching contributions was $1.0 million, $0.9 million and $0.9 million, respectively.</w:t>
      </w:r>
    </w:p>
    <w:p>
      <w:pPr>
        <w:sectPr>
          <w:pgSz w:w="12240" w:h="15840" w:orient="portrait"/>
          <w:cols w:equalWidth="0" w:num="1">
            <w:col w:w="10060"/>
          </w:cols>
          <w:pgMar w:left="1080" w:top="717"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60"/>
          </w:cols>
          <w:pgMar w:left="1080" w:top="717" w:right="1100" w:bottom="175" w:gutter="0" w:footer="0" w:header="0"/>
          <w:type w:val="continuous"/>
        </w:sectPr>
      </w:pPr>
    </w:p>
    <w:bookmarkStart w:id="110" w:name="page111"/>
    <w:bookmarkEnd w:id="110"/>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Kodiak Sciences Inc.</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Liability Related to Sale of Future Royalties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On December 1, 2019, the Company and its subsidiary Kodiak Sciences GmbH entered into a funding agreement with BBA, which holds more than 5% of the Company’s stock, pursuant to which BBA purchased the right to receive a capped 4.5% royalty on future net sales of tarcocimab, the Company’s anti-VEGF antibody biopolymer conjugate therapy, in exchange for $225.0 million. Under the terms of the funding agreement, there is no obligation to repay any funding amount received, other than through the capped royalty payments on future product revenues. The royalty terminates upon the date that BBA has received an aggregate amount equal to 4.5 times the funding amount paid to the Company, unless earlier terminated or repurchased by the Company. The Company has the option, exercisable at any point during the term of the funding agreement, to repurchase 100% of the royalties due to BBA for a purchase price equal to 4.5 times the funding amount paid to the Company as of such time, less amounts paid by the Company to BBA.</w:t>
      </w:r>
    </w:p>
    <w:p>
      <w:pPr>
        <w:spacing w:after="0" w:line="86" w:lineRule="exact"/>
        <w:rPr>
          <w:sz w:val="20"/>
          <w:szCs w:val="20"/>
          <w:color w:val="auto"/>
        </w:rPr>
      </w:pPr>
    </w:p>
    <w:p>
      <w:pPr>
        <w:ind w:firstLine="490"/>
        <w:spacing w:after="0" w:line="270" w:lineRule="auto"/>
        <w:rPr>
          <w:sz w:val="20"/>
          <w:szCs w:val="20"/>
          <w:color w:val="auto"/>
        </w:rPr>
      </w:pPr>
      <w:r>
        <w:rPr>
          <w:rFonts w:ascii="Times New Roman" w:cs="Times New Roman" w:eastAsia="Times New Roman" w:hAnsi="Times New Roman"/>
          <w:sz w:val="19"/>
          <w:szCs w:val="19"/>
          <w:color w:val="auto"/>
        </w:rPr>
        <w:t>The closing of the funding agreement was subject to certain conditions and occurred in February 2020. The Company received $100.0 million of the funding on February 4, 2020. The remaining $125.0 million, subject to delivery of notice by the Company, was payable upon enrollment of 50% of the patients in the RVO clinical program. In July 2021, the funding agreement was amended, at the Company’s request, that the remaining funding amount of $125.0 million would not be paid.</w:t>
      </w:r>
    </w:p>
    <w:p>
      <w:pPr>
        <w:spacing w:after="0" w:line="5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 Company recorded the initial $100.0 million payment as a liability on the consolidated balance sheet net of issuance costs.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As of December 31, 2025, royalty payments are not probable and estimable. For the years ended December 31, 2025, 2024, and 2023, no interest expense was recognized for the liability related to the sale of future royalties.</w:t>
      </w:r>
    </w:p>
    <w:p>
      <w:pPr>
        <w:sectPr>
          <w:pgSz w:w="12240" w:h="15840" w:orient="portrait"/>
          <w:cols w:equalWidth="0" w:num="1">
            <w:col w:w="9960"/>
          </w:cols>
          <w:pgMar w:left="1080" w:top="717" w:right="12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60"/>
          </w:cols>
          <w:pgMar w:left="1080" w:top="717" w:right="1200" w:bottom="175" w:gutter="0" w:footer="0" w:header="0"/>
          <w:type w:val="continuous"/>
        </w:sectPr>
      </w:pPr>
    </w:p>
    <w:bookmarkStart w:id="111" w:name="page112"/>
    <w:bookmarkEnd w:id="111"/>
    <w:p>
      <w:pPr>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Evaluation of our Disclosure Controls and Procedures</w:t>
      </w:r>
    </w:p>
    <w:p>
      <w:pPr>
        <w:spacing w:after="0" w:line="11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or persons performing similar functions, as appropriate to allow timely decisions regarding required disclosure.</w:t>
      </w:r>
    </w:p>
    <w:p>
      <w:pPr>
        <w:spacing w:after="0" w:line="80"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December 31, 2025. Based upon such evaluation, our principal executive officer and principal financial officer concluded that the design and operation of our disclosure controls and procedures were effective at a reasonable assurance level as of December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Report on Internal Control over Financial Reporting</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and 15d-15(f) under the Exchange Act). 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11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There has been no change in our internal control over financial reporting during the quarter ended December 31, 2025, that has materially affected, or is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Auditor Attestation</w:t>
      </w:r>
    </w:p>
    <w:p>
      <w:pPr>
        <w:spacing w:after="0" w:line="118" w:lineRule="exact"/>
        <w:rPr>
          <w:sz w:val="20"/>
          <w:szCs w:val="20"/>
          <w:color w:val="auto"/>
        </w:rPr>
      </w:pPr>
    </w:p>
    <w:p>
      <w:pPr>
        <w:ind w:right="540" w:firstLine="490"/>
        <w:spacing w:after="0" w:line="252" w:lineRule="auto"/>
        <w:rPr>
          <w:sz w:val="20"/>
          <w:szCs w:val="20"/>
          <w:color w:val="auto"/>
        </w:rPr>
      </w:pPr>
      <w:r>
        <w:rPr>
          <w:rFonts w:ascii="Times New Roman" w:cs="Times New Roman" w:eastAsia="Times New Roman" w:hAnsi="Times New Roman"/>
          <w:sz w:val="20"/>
          <w:szCs w:val="20"/>
          <w:color w:val="auto"/>
        </w:rPr>
        <w:t>We are a non-accelerated filer under the Exchange Act and not required to comply with the auditor attestation requirements of Section 404(b) of the Sarbanes-Oxley Act of 2002. Therefore, this Annual Report does not include an attestation report of our registered public accounting firm regarding the effectiveness of internal control over financial reporting as of December 31,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00"/>
          </w:cols>
          <w:pgMar w:left="1080" w:top="1056"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000"/>
          </w:cols>
          <w:pgMar w:left="1080" w:top="1056" w:right="1160" w:bottom="175" w:gutter="0" w:footer="0" w:header="0"/>
          <w:type w:val="continuous"/>
        </w:sectPr>
      </w:pPr>
    </w:p>
    <w:bookmarkStart w:id="112" w:name="page113"/>
    <w:bookmarkEnd w:id="112"/>
    <w:p>
      <w:pPr>
        <w:ind w:left="46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our definitive proxy statement to be filed with the SEC in connection with the Annual Meeting of Stockholders within 120 days after December 31, 2025, or the Proxy Statement, under the captions “Executive Officers” and “Board of Directors and Corporate Governance”, and is incorporated in this Annual Report on Form 10-K by reference.</w:t>
      </w:r>
    </w:p>
    <w:p>
      <w:pPr>
        <w:spacing w:after="0" w:line="7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ir.kodiak.com/corporate-governance/governance-overview.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8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Our board of directors has adopted insider trading policies and procedures that govern the purchase, sale, and other dispositions of our securities by our directors, officers and employees. We believe these policies and procedures are reasonably designed to promote compliance with insider trading laws, rules, and regulations, and applicable listing standards. A copy of our insider trading policy is filed as Exhibit 19.1 to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Proxy Statement under the captions “Executive Compensation” (excluding the information presented under the subheading “Pay Versus Performance”) and “Non-Employee Director Compensation” and is incorporated in this Annual Report on Form 10-K by reference.</w:t>
      </w:r>
    </w:p>
    <w:p>
      <w:pPr>
        <w:spacing w:after="0" w:line="18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6"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Proxy Statement under the captions “Security Ownership of Certain Beneficial Owners and Management” and “Securities Authorized for Issuance Under Equity Compensation Plans” and is incorporated in this Annual Report on Form 10-K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4" w:lineRule="exact"/>
        <w:rPr>
          <w:sz w:val="20"/>
          <w:szCs w:val="20"/>
          <w:color w:val="auto"/>
        </w:rPr>
      </w:pPr>
    </w:p>
    <w:p>
      <w:pPr>
        <w:ind w:right="36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Proxy Statement under the captions “Related-Person Transactions” and “Board of Directors and Corporate Governance – Director Independence” and is incorporated in this Annual Report on Form 10-K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2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Proxy Statement under the caption “Ratification of Appointment of Independent Registered Public Accounting Firm” and is incorporated in this Annual Report on Form 10-K by reference.</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060"/>
          </w:cols>
          <w:pgMar w:left="1080" w:top="1056" w:right="1100" w:bottom="175" w:gutter="0" w:footer="0" w:header="0"/>
          <w:type w:val="continuous"/>
        </w:sectPr>
      </w:pPr>
    </w:p>
    <w:bookmarkStart w:id="113" w:name="page114"/>
    <w:bookmarkEnd w:id="113"/>
    <w:p>
      <w:pPr>
        <w:ind w:left="46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06" w:lineRule="exact"/>
        <w:rPr>
          <w:sz w:val="20"/>
          <w:szCs w:val="20"/>
          <w:color w:val="auto"/>
        </w:rPr>
      </w:pPr>
    </w:p>
    <w:p>
      <w:pPr>
        <w:ind w:left="760" w:hanging="270"/>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101" w:lineRule="exact"/>
        <w:rPr>
          <w:rFonts w:ascii="Times New Roman" w:cs="Times New Roman" w:eastAsia="Times New Roman" w:hAnsi="Times New Roman"/>
          <w:sz w:val="20"/>
          <w:szCs w:val="20"/>
          <w:color w:val="auto"/>
        </w:rPr>
      </w:pPr>
    </w:p>
    <w:p>
      <w:pPr>
        <w:ind w:left="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FINANCIAL STATEMENTS</w:t>
      </w:r>
    </w:p>
    <w:p>
      <w:pPr>
        <w:spacing w:after="0" w:line="101" w:lineRule="exact"/>
        <w:rPr>
          <w:rFonts w:ascii="Times New Roman" w:cs="Times New Roman" w:eastAsia="Times New Roman" w:hAnsi="Times New Roman"/>
          <w:sz w:val="20"/>
          <w:szCs w:val="20"/>
          <w:color w:val="auto"/>
        </w:rPr>
      </w:pPr>
    </w:p>
    <w:p>
      <w:pPr>
        <w:ind w:left="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financial statements are filed as part of this Annual Report on Form 10-K under Item 8.</w:t>
      </w:r>
    </w:p>
    <w:p>
      <w:pPr>
        <w:spacing w:after="0" w:line="101" w:lineRule="exact"/>
        <w:rPr>
          <w:rFonts w:ascii="Times New Roman" w:cs="Times New Roman" w:eastAsia="Times New Roman" w:hAnsi="Times New Roman"/>
          <w:sz w:val="20"/>
          <w:szCs w:val="20"/>
          <w:color w:val="auto"/>
        </w:rPr>
      </w:pPr>
    </w:p>
    <w:p>
      <w:pPr>
        <w:ind w:left="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FINANCIAL STATEMENT SCHEDULES</w:t>
      </w:r>
    </w:p>
    <w:p>
      <w:pPr>
        <w:spacing w:after="0" w:line="102"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auto"/>
        </w:rPr>
        <w:t>All schedules to the consolidated financial statements are omitted as the required information is either inapplicable or presented in the consolidated financial statements.</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(3) EXHIBITS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4"/>
        </w:trPr>
        <w:tc>
          <w:tcPr>
            <w:tcW w:w="9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5"/>
                <w:szCs w:val="15"/>
                <w:color w:val="auto"/>
              </w:rPr>
            </w:pPr>
          </w:p>
        </w:tc>
        <w:tc>
          <w:tcPr>
            <w:tcW w:w="3800" w:type="dxa"/>
            <w:vAlign w:val="bottom"/>
            <w:tcBorders>
              <w:bottom w:val="single" w:sz="8" w:color="auto"/>
            </w:tcBorders>
          </w:tcPr>
          <w:p>
            <w:pPr>
              <w:ind w:left="150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5"/>
                <w:szCs w:val="15"/>
                <w:color w:val="auto"/>
              </w:rPr>
            </w:pPr>
          </w:p>
        </w:tc>
        <w:tc>
          <w:tcPr>
            <w:tcW w:w="980" w:type="dxa"/>
            <w:vAlign w:val="bottom"/>
            <w:tcBorders>
              <w:bottom w:val="single" w:sz="8" w:color="auto"/>
            </w:tcBorders>
          </w:tcPr>
          <w:p>
            <w:pPr>
              <w:ind w:left="300"/>
              <w:spacing w:after="0" w:line="175" w:lineRule="exact"/>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5"/>
                <w:szCs w:val="15"/>
                <w:color w:val="auto"/>
              </w:rPr>
            </w:pPr>
          </w:p>
        </w:tc>
        <w:tc>
          <w:tcPr>
            <w:tcW w:w="1500" w:type="dxa"/>
            <w:vAlign w:val="bottom"/>
            <w:tcBorders>
              <w:bottom w:val="single" w:sz="8" w:color="auto"/>
            </w:tcBorders>
          </w:tcPr>
          <w:p>
            <w:pPr>
              <w:ind w:left="480"/>
              <w:spacing w:after="0" w:line="175" w:lineRule="exact"/>
              <w:rPr>
                <w:sz w:val="20"/>
                <w:szCs w:val="20"/>
                <w:color w:val="auto"/>
              </w:rPr>
            </w:pPr>
            <w:r>
              <w:rPr>
                <w:rFonts w:ascii="Times New Roman" w:cs="Times New Roman" w:eastAsia="Times New Roman" w:hAnsi="Times New Roman"/>
                <w:sz w:val="16"/>
                <w:szCs w:val="16"/>
                <w:b w:val="1"/>
                <w:bCs w:val="1"/>
                <w:color w:val="auto"/>
              </w:rPr>
              <w:t>File No.</w:t>
            </w:r>
          </w:p>
        </w:tc>
        <w:tc>
          <w:tcPr>
            <w:tcW w:w="100" w:type="dxa"/>
            <w:vAlign w:val="bottom"/>
          </w:tcPr>
          <w:p>
            <w:pPr>
              <w:spacing w:after="0"/>
              <w:rPr>
                <w:sz w:val="15"/>
                <w:szCs w:val="15"/>
                <w:color w:val="auto"/>
              </w:rPr>
            </w:pPr>
          </w:p>
        </w:tc>
        <w:tc>
          <w:tcPr>
            <w:tcW w:w="960" w:type="dxa"/>
            <w:vAlign w:val="bottom"/>
            <w:tcBorders>
              <w:bottom w:val="single" w:sz="8" w:color="auto"/>
            </w:tcBorders>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5"/>
                <w:szCs w:val="15"/>
                <w:color w:val="auto"/>
              </w:rPr>
            </w:pPr>
          </w:p>
        </w:tc>
        <w:tc>
          <w:tcPr>
            <w:tcW w:w="1340" w:type="dxa"/>
            <w:vAlign w:val="bottom"/>
            <w:tcBorders>
              <w:bottom w:val="single" w:sz="8" w:color="auto"/>
            </w:tcBorders>
          </w:tcPr>
          <w:p>
            <w:pPr>
              <w:ind w:left="280"/>
              <w:spacing w:after="0" w:line="175" w:lineRule="exact"/>
              <w:rPr>
                <w:sz w:val="20"/>
                <w:szCs w:val="20"/>
                <w:color w:val="auto"/>
              </w:rPr>
            </w:pPr>
            <w:r>
              <w:rPr>
                <w:rFonts w:ascii="Times New Roman" w:cs="Times New Roman" w:eastAsia="Times New Roman" w:hAnsi="Times New Roman"/>
                <w:sz w:val="16"/>
                <w:szCs w:val="16"/>
                <w:b w:val="1"/>
                <w:bCs w:val="1"/>
                <w:color w:val="auto"/>
              </w:rPr>
              <w:t>Filing Date</w:t>
            </w:r>
          </w:p>
        </w:tc>
      </w:tr>
      <w:tr>
        <w:trPr>
          <w:trHeight w:val="320"/>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7"/>
              </w:rPr>
              <w:t>10-Q</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3.1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11/16/2018</w:t>
            </w: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Incorporation of Kodiak Sciences Inc</w:t>
            </w:r>
            <w:r>
              <w:rPr>
                <w:rFonts w:ascii="Times New Roman" w:cs="Times New Roman" w:eastAsia="Times New Roman" w:hAnsi="Times New Roman"/>
                <w:sz w:val="20"/>
                <w:szCs w:val="20"/>
                <w:color w:val="676767"/>
              </w:rPr>
              <w:t>.</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15"/>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Kodiak</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7"/>
              </w:rPr>
              <w:t>10-Q</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3.2</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11/16/2018</w:t>
            </w: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Sciences Inc.</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6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Form of Common Stock Certificate</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4.1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347"/>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Investors’ Rights Agreement, dated September</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4.2</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8, 2015, as amended, by and among the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registrant and the investors and founders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named therein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72"/>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7"/>
              </w:rPr>
              <w:t>10-K</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4.6</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3/16/2020</w:t>
            </w:r>
          </w:p>
        </w:tc>
      </w:tr>
      <w:tr>
        <w:trPr>
          <w:trHeight w:val="314"/>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w w:val="99"/>
              </w:rPr>
              <w:t>Registration Rights Agreement, dated March 1,</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7"/>
              </w:rPr>
              <w:t>10-K</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4.7</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3/1/2021</w:t>
            </w: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2021, by and among the registrant and the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investors named therein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15"/>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Form of Director and Officer Indemnification</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Agreement</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6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10.2+</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2009 Options and Profits Interest Plan</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10.2</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9/7/2018</w:t>
            </w:r>
          </w:p>
        </w:tc>
      </w:tr>
      <w:tr>
        <w:trPr>
          <w:trHeight w:val="36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10.3+</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2015 Share Incentive Plan</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10.3</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9/7/2018</w:t>
            </w:r>
          </w:p>
        </w:tc>
      </w:tr>
      <w:tr>
        <w:trPr>
          <w:trHeight w:val="314"/>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10.4+</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Form of Notice of Stock Option Grant and</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10.4</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9/7/2018</w:t>
            </w: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Stock Option Agreement under the 2009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Option and Profits Interest Plan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48"/>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10.5+</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Form of Notice of Stock Option Grant and</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10.5</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9/7/2018</w:t>
            </w: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Stock Option Agreement under the 2015 Share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83"/>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10.6+</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2018 Equity Incentive Plan</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10.6</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314"/>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10.7+</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Form of Notice of Stock Option Grant and</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10.7</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Stock Option Agreement under the 2018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Equity Incentive Plan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15"/>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10.8+</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Form of Notice of Restricted Stock Unit Grant</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10.8</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and Terms and Conditions of Restricted Stock</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Unit Grant under the 2018 Equity Incentive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Plan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6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auto"/>
                <w:w w:val="99"/>
              </w:rPr>
              <w:t>10.9+</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2018 Employee Stock Purchase Plan</w:t>
            </w:r>
          </w:p>
        </w:tc>
        <w:tc>
          <w:tcPr>
            <w:tcW w:w="100" w:type="dxa"/>
            <w:vAlign w:val="bottom"/>
          </w:tcPr>
          <w:p>
            <w:pPr>
              <w:spacing w:after="0"/>
              <w:rPr>
                <w:sz w:val="24"/>
                <w:szCs w:val="24"/>
                <w:color w:val="auto"/>
              </w:rPr>
            </w:pPr>
          </w:p>
        </w:tc>
        <w:tc>
          <w:tcPr>
            <w:tcW w:w="98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10.9</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619125</wp:posOffset>
                </wp:positionH>
                <wp:positionV relativeFrom="paragraph">
                  <wp:posOffset>-5902325</wp:posOffset>
                </wp:positionV>
                <wp:extent cx="635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75pt,-464.7499pt" to="53.75pt,-464.7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3101975</wp:posOffset>
                </wp:positionH>
                <wp:positionV relativeFrom="paragraph">
                  <wp:posOffset>-5902325</wp:posOffset>
                </wp:positionV>
                <wp:extent cx="6477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25pt,-464.7499pt" to="249.35pt,-464.7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3782060</wp:posOffset>
                </wp:positionH>
                <wp:positionV relativeFrom="paragraph">
                  <wp:posOffset>-5902325</wp:posOffset>
                </wp:positionV>
                <wp:extent cx="6477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8pt,-464.7499pt" to="302.9pt,-464.7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4797425</wp:posOffset>
                </wp:positionH>
                <wp:positionV relativeFrom="paragraph">
                  <wp:posOffset>-5902325</wp:posOffset>
                </wp:positionV>
                <wp:extent cx="6477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75pt,-464.7499pt" to="382.85pt,-464.7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5479415</wp:posOffset>
                </wp:positionH>
                <wp:positionV relativeFrom="paragraph">
                  <wp:posOffset>-5902325</wp:posOffset>
                </wp:positionV>
                <wp:extent cx="6477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45pt,-464.7499pt" to="436.55pt,-464.7499pt" o:allowincell="f" strokecolor="#FFFFFF" strokeweight="0.25pt"/>
            </w:pict>
          </mc:Fallback>
        </mc:AlternateContent>
      </w:r>
    </w:p>
    <w:p>
      <w:pPr>
        <w:sectPr>
          <w:pgSz w:w="12240" w:h="15840" w:orient="portrait"/>
          <w:cols w:equalWidth="0" w:num="1">
            <w:col w:w="10080"/>
          </w:cols>
          <w:pgMar w:left="1080" w:top="1041"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080"/>
          </w:cols>
          <w:pgMar w:left="1080" w:top="1041" w:right="1080" w:bottom="175"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01"/>
        </w:trPr>
        <w:tc>
          <w:tcPr>
            <w:tcW w:w="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4"/>
        </w:trPr>
        <w:tc>
          <w:tcPr>
            <w:tcW w:w="980" w:type="dxa"/>
            <w:vAlign w:val="bottom"/>
            <w:tcBorders>
              <w:bottom w:val="single" w:sz="8" w:color="auto"/>
            </w:tcBorders>
          </w:tcPr>
          <w:p>
            <w:pPr>
              <w:ind w:left="200"/>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5"/>
                <w:szCs w:val="15"/>
                <w:color w:val="auto"/>
              </w:rPr>
            </w:pPr>
          </w:p>
        </w:tc>
        <w:tc>
          <w:tcPr>
            <w:tcW w:w="3800" w:type="dxa"/>
            <w:vAlign w:val="bottom"/>
            <w:tcBorders>
              <w:bottom w:val="single" w:sz="8" w:color="auto"/>
            </w:tcBorders>
          </w:tcPr>
          <w:p>
            <w:pPr>
              <w:ind w:left="150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5"/>
                <w:szCs w:val="15"/>
                <w:color w:val="auto"/>
              </w:rPr>
            </w:pPr>
          </w:p>
        </w:tc>
        <w:tc>
          <w:tcPr>
            <w:tcW w:w="1500" w:type="dxa"/>
            <w:vAlign w:val="bottom"/>
            <w:tcBorders>
              <w:bottom w:val="single" w:sz="8" w:color="auto"/>
            </w:tcBorders>
          </w:tcPr>
          <w:p>
            <w:pPr>
              <w:ind w:left="520"/>
              <w:spacing w:after="0" w:line="175" w:lineRule="exact"/>
              <w:rPr>
                <w:sz w:val="20"/>
                <w:szCs w:val="20"/>
                <w:color w:val="auto"/>
              </w:rPr>
            </w:pPr>
            <w:r>
              <w:rPr>
                <w:rFonts w:ascii="Times New Roman" w:cs="Times New Roman" w:eastAsia="Times New Roman" w:hAnsi="Times New Roman"/>
                <w:sz w:val="16"/>
                <w:szCs w:val="16"/>
                <w:b w:val="1"/>
                <w:bCs w:val="1"/>
                <w:color w:val="auto"/>
              </w:rPr>
              <w:t>File No.</w:t>
            </w:r>
          </w:p>
        </w:tc>
        <w:tc>
          <w:tcPr>
            <w:tcW w:w="100" w:type="dxa"/>
            <w:vAlign w:val="bottom"/>
          </w:tcPr>
          <w:p>
            <w:pPr>
              <w:spacing w:after="0"/>
              <w:rPr>
                <w:sz w:val="15"/>
                <w:szCs w:val="15"/>
                <w:color w:val="auto"/>
              </w:rPr>
            </w:pPr>
          </w:p>
        </w:tc>
        <w:tc>
          <w:tcPr>
            <w:tcW w:w="960" w:type="dxa"/>
            <w:vAlign w:val="bottom"/>
            <w:tcBorders>
              <w:bottom w:val="single" w:sz="8" w:color="auto"/>
            </w:tcBorders>
          </w:tcPr>
          <w:p>
            <w:pPr>
              <w:ind w:left="280"/>
              <w:spacing w:after="0" w:line="175"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5"/>
                <w:szCs w:val="15"/>
                <w:color w:val="auto"/>
              </w:rPr>
            </w:pPr>
          </w:p>
        </w:tc>
        <w:tc>
          <w:tcPr>
            <w:tcW w:w="1340" w:type="dxa"/>
            <w:vAlign w:val="bottom"/>
            <w:tcBorders>
              <w:bottom w:val="single" w:sz="8" w:color="auto"/>
            </w:tcBorders>
          </w:tcPr>
          <w:p>
            <w:pPr>
              <w:ind w:left="340"/>
              <w:spacing w:after="0" w:line="175" w:lineRule="exact"/>
              <w:rPr>
                <w:sz w:val="20"/>
                <w:szCs w:val="20"/>
                <w:color w:val="auto"/>
              </w:rPr>
            </w:pPr>
            <w:r>
              <w:rPr>
                <w:rFonts w:ascii="Times New Roman" w:cs="Times New Roman" w:eastAsia="Times New Roman" w:hAnsi="Times New Roman"/>
                <w:sz w:val="16"/>
                <w:szCs w:val="16"/>
                <w:b w:val="1"/>
                <w:bCs w:val="1"/>
                <w:color w:val="auto"/>
              </w:rPr>
              <w:t>Filing Date</w:t>
            </w:r>
          </w:p>
        </w:tc>
      </w:tr>
      <w:tr>
        <w:trPr>
          <w:trHeight w:val="324"/>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10.10+</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Form of Subscription Agreement under the</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10.10</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2018 Employee Stock Purchase Plan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14"/>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Executive Employment Agreement, effective</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10.11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as of September 6, 2018, between the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Registrant and Victor Perlroth</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14"/>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10.12+</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Amended Executive Employment Agreement,</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10.12</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effective as of September 6, 2018, between the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Registrant and John Borgeson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6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10.13+</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Executive Incentive Compensation Plan</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rPr>
              <w:t>S-1/A</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333-227237</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10.15</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9/24/2018</w:t>
            </w:r>
          </w:p>
        </w:tc>
      </w:tr>
      <w:tr>
        <w:trPr>
          <w:trHeight w:val="313"/>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10.14</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Funding Agreement, dated as of December 1,</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rPr>
              <w:t>8-K</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12/2/2019</w:t>
            </w:r>
          </w:p>
        </w:tc>
      </w:tr>
      <w:tr>
        <w:trPr>
          <w:trHeight w:val="211"/>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2019, between Kodiak Sciences Inc., Kodiak</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Sciences GmbH and Baker Bros. Advisors, LP</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47"/>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10.15</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for 1200 Page Mill Road,</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10-Q</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8/10/2020</w:t>
            </w: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Building 3, by and between the Registrant and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1050 Page Mill Road Property, LLC, dated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June 19, 2020</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51"/>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10.16</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for 1250 Page Mill Road,</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10-Q</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10.2</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8/10/2020</w:t>
            </w: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Building 4, by and between the Registrant and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1050 Page Mill Road Property, LLC, dated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June 19, 2020</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72"/>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10.17</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Letter Agreement, dated July 22, 2021</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rPr>
              <w:t>8-K</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7/23/2021</w:t>
            </w:r>
          </w:p>
        </w:tc>
      </w:tr>
      <w:tr>
        <w:trPr>
          <w:trHeight w:val="36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10.18</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2021 Long-Term Performance Incentive Plan</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10-Q</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10.1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11/9/2021</w:t>
            </w:r>
          </w:p>
        </w:tc>
      </w:tr>
      <w:tr>
        <w:trPr>
          <w:trHeight w:val="324"/>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10.19</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Underwriting Agreement, dated as of</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rPr>
              <w:t>8-K</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12/18/2025</w:t>
            </w: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December 16, 2025, by and among Kodiak</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Sciences Inc., J.P. Morgan Securities LLC,</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Jefferies LLC, Evercore Group L.L.C. and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UBS Securities LLC.</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6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19.1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Kodiak Sciences Inc. Insider Trading Policy</w:t>
            </w:r>
          </w:p>
        </w:tc>
        <w:tc>
          <w:tcPr>
            <w:tcW w:w="10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10-K</w:t>
            </w:r>
          </w:p>
        </w:tc>
        <w:tc>
          <w:tcPr>
            <w:tcW w:w="16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001-38682</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7"/>
              </w:rPr>
              <w:t>19.1</w:t>
            </w:r>
          </w:p>
        </w:tc>
        <w:tc>
          <w:tcPr>
            <w:tcW w:w="14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3/27/2025</w:t>
            </w:r>
          </w:p>
        </w:tc>
      </w:tr>
      <w:tr>
        <w:trPr>
          <w:trHeight w:val="36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Subsidiaries of the Company</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5"/>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23.1*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Consent of Independent Registered Public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Accounting Firm</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84"/>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24.1*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Power of Attorney (included in signature page)</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Pursuant to Rules 13a-14(a) and 15d-14(a)</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under the Securities Exchange Act of 1934, as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Adopted Pursuant to Section 302 of the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Sarbanes-Oxley Act of 2002.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080"/>
          </w:cols>
          <w:pgMar w:left="1080" w:top="1063"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080"/>
          </w:cols>
          <w:pgMar w:left="1080" w:top="1063" w:right="1080" w:bottom="175"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0"/>
        </w:trPr>
        <w:tc>
          <w:tcPr>
            <w:tcW w:w="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17"/>
        </w:trPr>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8"/>
                <w:szCs w:val="18"/>
                <w:color w:val="auto"/>
              </w:rPr>
            </w:pPr>
          </w:p>
        </w:tc>
        <w:tc>
          <w:tcPr>
            <w:tcW w:w="3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8"/>
                <w:szCs w:val="18"/>
                <w:color w:val="auto"/>
              </w:rPr>
            </w:pP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325"/>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31.2*</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and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Accounting Officer Pursuant to Rules 13a-</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14(a) and 15d-14(a) under the Securities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Exchange Act of 1934, as Adopted Pursuant to</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302 of the Sarbanes-Oxley Act of</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39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2002.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14"/>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Pursuant to 18 U.S.C. Section 1350, as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Adopted Pursuant to Section 906 of the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Sarbanes-Oxley Act of 2002.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14"/>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32.2*</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and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Accounting Officer Pursuant to 18 U.S.C.</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1350, as Adopted Pursuant to Section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906 of the Sarbanes-Oxley Act of 2002.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6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97.1</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Incentive Compensation Recoupment Policy</w:t>
            </w:r>
          </w:p>
        </w:tc>
        <w:tc>
          <w:tcPr>
            <w:tcW w:w="10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10-K</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001-38682</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97.1</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3/28/2024</w:t>
            </w:r>
          </w:p>
        </w:tc>
      </w:tr>
      <w:tr>
        <w:trPr>
          <w:trHeight w:val="45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39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Schema</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With Embedded Linkbases Document</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103" w:lineRule="exact"/>
        <w:rPr>
          <w:sz w:val="20"/>
          <w:szCs w:val="20"/>
          <w:color w:val="auto"/>
        </w:rPr>
      </w:pPr>
    </w:p>
    <w:p>
      <w:pPr>
        <w:ind w:left="1080" w:right="5260" w:hanging="1080"/>
        <w:spacing w:after="0" w:line="259" w:lineRule="auto"/>
        <w:tabs>
          <w:tab w:leader="none" w:pos="10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24" w:lineRule="exact"/>
        <w:rPr>
          <w:rFonts w:ascii="Times New Roman" w:cs="Times New Roman" w:eastAsia="Times New Roman" w:hAnsi="Times New Roman"/>
          <w:sz w:val="20"/>
          <w:szCs w:val="20"/>
          <w:color w:val="auto"/>
        </w:rPr>
      </w:pPr>
    </w:p>
    <w:p>
      <w:pPr>
        <w:ind w:left="160" w:hanging="160"/>
        <w:spacing w:after="0"/>
        <w:tabs>
          <w:tab w:leader="none" w:pos="1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4572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36pt,-12pt" o:allowincell="f" strokecolor="#000000" strokeweight="0.5pt"/>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110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080"/>
          </w:cols>
          <w:pgMar w:left="1080" w:top="1106" w:right="1080" w:bottom="175"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4"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8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KODIAK SCIENCES INC.</w:t>
      </w:r>
    </w:p>
    <w:p>
      <w:pPr>
        <w:spacing w:after="0" w:line="260" w:lineRule="exact"/>
        <w:rPr>
          <w:sz w:val="20"/>
          <w:szCs w:val="20"/>
          <w:color w:val="auto"/>
        </w:rPr>
      </w:pPr>
    </w:p>
    <w:p>
      <w:pPr>
        <w:ind w:left="1380"/>
        <w:spacing w:after="0"/>
        <w:tabs>
          <w:tab w:leader="none" w:pos="4640" w:val="left"/>
        </w:tabs>
        <w:rPr>
          <w:sz w:val="20"/>
          <w:szCs w:val="20"/>
          <w:color w:val="auto"/>
        </w:rPr>
      </w:pPr>
      <w:r>
        <w:rPr>
          <w:rFonts w:ascii="Times New Roman" w:cs="Times New Roman" w:eastAsia="Times New Roman" w:hAnsi="Times New Roman"/>
          <w:sz w:val="20"/>
          <w:szCs w:val="20"/>
          <w:color w:val="auto"/>
        </w:rPr>
        <w:t>Date: March 31, 2026</w:t>
      </w:r>
      <w:r>
        <w:rPr>
          <w:sz w:val="20"/>
          <w:szCs w:val="20"/>
          <w:color w:val="auto"/>
        </w:rPr>
        <w:tab/>
      </w:r>
      <w:r>
        <w:rPr>
          <w:rFonts w:ascii="Times New Roman" w:cs="Times New Roman" w:eastAsia="Times New Roman" w:hAnsi="Times New Roman"/>
          <w:sz w:val="19"/>
          <w:szCs w:val="19"/>
          <w:color w:val="auto"/>
        </w:rPr>
        <w:t>By:</w:t>
      </w:r>
    </w:p>
    <w:p>
      <w:pPr>
        <w:spacing w:after="0" w:line="28"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20"/>
          <w:szCs w:val="20"/>
          <w:color w:val="auto"/>
        </w:rPr>
        <w:t>/s/ Victor Perlroth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3208020</wp:posOffset>
                </wp:positionH>
                <wp:positionV relativeFrom="paragraph">
                  <wp:posOffset>-3175</wp:posOffset>
                </wp:positionV>
                <wp:extent cx="319278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278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6pt,-0.2499pt" to="504pt,-0.2499pt" o:allowincell="f" strokecolor="#000000" strokeweight="0.25pt"/>
            </w:pict>
          </mc:Fallback>
        </mc:AlternateContent>
      </w:r>
    </w:p>
    <w:p>
      <w:pPr>
        <w:jc w:val="center"/>
        <w:ind w:left="5040"/>
        <w:spacing w:after="0"/>
        <w:rPr>
          <w:sz w:val="20"/>
          <w:szCs w:val="20"/>
          <w:color w:val="auto"/>
        </w:rPr>
      </w:pPr>
      <w:r>
        <w:rPr>
          <w:rFonts w:ascii="Times New Roman" w:cs="Times New Roman" w:eastAsia="Times New Roman" w:hAnsi="Times New Roman"/>
          <w:sz w:val="20"/>
          <w:szCs w:val="20"/>
          <w:b w:val="1"/>
          <w:bCs w:val="1"/>
          <w:color w:val="auto"/>
        </w:rPr>
        <w:t>Victor Perlroth, M.D.</w:t>
      </w:r>
    </w:p>
    <w:p>
      <w:pPr>
        <w:spacing w:after="0" w:line="24"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20"/>
          <w:szCs w:val="20"/>
          <w:b w:val="1"/>
          <w:bCs w:val="1"/>
          <w:color w:val="auto"/>
        </w:rPr>
        <w:t>Chairman and Chief Executive Officer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82"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100" w:type="dxa"/>
            <w:vAlign w:val="bottom"/>
          </w:tcPr>
          <w:p>
            <w:pPr>
              <w:spacing w:after="0"/>
              <w:rPr>
                <w:sz w:val="22"/>
                <w:szCs w:val="22"/>
                <w:color w:val="auto"/>
              </w:rPr>
            </w:pPr>
          </w:p>
        </w:tc>
        <w:tc>
          <w:tcPr>
            <w:tcW w:w="43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00" w:type="dxa"/>
            <w:vAlign w:val="bottom"/>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450"/>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Victor Perlroth</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Chairman and Chief Executive Officer</w:t>
            </w:r>
          </w:p>
        </w:tc>
        <w:tc>
          <w:tcPr>
            <w:tcW w:w="100" w:type="dxa"/>
            <w:vAlign w:val="bottom"/>
          </w:tcPr>
          <w:p>
            <w:pPr>
              <w:spacing w:after="0"/>
              <w:rPr>
                <w:sz w:val="24"/>
                <w:szCs w:val="24"/>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114"/>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Victor Perlroth, M.D.</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10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020" w:type="dxa"/>
            <w:vAlign w:val="bottom"/>
            <w:vMerge w:val="continue"/>
          </w:tcPr>
          <w:p>
            <w:pPr>
              <w:spacing w:after="0"/>
              <w:rPr>
                <w:sz w:val="12"/>
                <w:szCs w:val="12"/>
                <w:color w:val="auto"/>
              </w:rPr>
            </w:pPr>
          </w:p>
        </w:tc>
        <w:tc>
          <w:tcPr>
            <w:tcW w:w="4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John Borgeson</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Chief Financial Officer</w:t>
            </w:r>
          </w:p>
        </w:tc>
        <w:tc>
          <w:tcPr>
            <w:tcW w:w="1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John Borgeson</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Felix J. Baker</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114"/>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Felix J. Baker, Ph.D.</w:t>
            </w:r>
          </w:p>
        </w:tc>
        <w:tc>
          <w:tcPr>
            <w:tcW w:w="4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Charles Bancroft</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114"/>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Charles Bancroft</w:t>
            </w:r>
          </w:p>
        </w:tc>
        <w:tc>
          <w:tcPr>
            <w:tcW w:w="4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Bassil I. Dahiyat</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114"/>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Bassil I. Dahiyat, Ph.D.</w:t>
            </w:r>
          </w:p>
        </w:tc>
        <w:tc>
          <w:tcPr>
            <w:tcW w:w="4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Richard S. Levy</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113"/>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Richard S. Levy, M.D.</w:t>
            </w:r>
          </w:p>
        </w:tc>
        <w:tc>
          <w:tcPr>
            <w:tcW w:w="4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A. Profusek</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113"/>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Robert A. Profusek, J.D.</w:t>
            </w:r>
          </w:p>
        </w:tc>
        <w:tc>
          <w:tcPr>
            <w:tcW w:w="4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Taiyin Yang</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31, 2026</w:t>
            </w:r>
          </w:p>
        </w:tc>
        <w:tc>
          <w:tcPr>
            <w:tcW w:w="0" w:type="dxa"/>
            <w:vAlign w:val="bottom"/>
          </w:tcPr>
          <w:p>
            <w:pPr>
              <w:spacing w:after="0"/>
              <w:rPr>
                <w:sz w:val="1"/>
                <w:szCs w:val="1"/>
                <w:color w:val="auto"/>
              </w:rPr>
            </w:pPr>
          </w:p>
        </w:tc>
      </w:tr>
      <w:tr>
        <w:trPr>
          <w:trHeight w:val="113"/>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Taiyin Yang, Ph.D.</w:t>
            </w:r>
          </w:p>
        </w:tc>
        <w:tc>
          <w:tcPr>
            <w:tcW w:w="4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1920240</wp:posOffset>
                </wp:positionH>
                <wp:positionV relativeFrom="paragraph">
                  <wp:posOffset>-3582035</wp:posOffset>
                </wp:positionV>
                <wp:extent cx="641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282.0499pt" to="156.25pt,-282.0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4736465</wp:posOffset>
                </wp:positionH>
                <wp:positionV relativeFrom="paragraph">
                  <wp:posOffset>-3582035</wp:posOffset>
                </wp:positionV>
                <wp:extent cx="641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95pt,-282.0499pt" to="378pt,-282.0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-3283585</wp:posOffset>
                </wp:positionV>
                <wp:extent cx="641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258.5499pt" to="156.25pt,-258.5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-2839085</wp:posOffset>
                </wp:positionV>
                <wp:extent cx="6413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223.5499pt" to="156.25pt,-223.5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-2394585</wp:posOffset>
                </wp:positionV>
                <wp:extent cx="6413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188.5499pt" to="156.25pt,-188.5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-1950085</wp:posOffset>
                </wp:positionV>
                <wp:extent cx="641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153.5499pt" to="156.25pt,-153.5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-1505585</wp:posOffset>
                </wp:positionV>
                <wp:extent cx="6413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118.5499pt" to="156.25pt,-118.5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-1061085</wp:posOffset>
                </wp:positionV>
                <wp:extent cx="6413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83.5499pt" to="156.25pt,-83.5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-616585</wp:posOffset>
                </wp:positionV>
                <wp:extent cx="6413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48.5499pt" to="156.25pt,-48.5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1920240</wp:posOffset>
                </wp:positionH>
                <wp:positionV relativeFrom="paragraph">
                  <wp:posOffset>-172085</wp:posOffset>
                </wp:positionV>
                <wp:extent cx="6413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2pt,-13.5499pt" to="156.25pt,-13.5499pt" o:allowincell="f" strokecolor="#FFFFFF" strokeweight="0.5pt"/>
            </w:pict>
          </mc:Fallback>
        </mc:AlternateConten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080"/>
          </w:cols>
          <w:pgMar w:left="1080" w:top="1056" w:right="1080" w:bottom="175"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118" w:name="page119"/>
    <w:bookmarkEnd w:id="118"/>
    <w:p>
      <w:pPr>
        <w:ind w:left="180"/>
        <w:spacing w:after="0"/>
        <w:rPr>
          <w:sz w:val="20"/>
          <w:szCs w:val="20"/>
          <w:color w:val="auto"/>
        </w:rPr>
      </w:pPr>
      <w:r>
        <w:rPr>
          <w:rFonts w:ascii="Arial" w:cs="Arial" w:eastAsia="Arial" w:hAnsi="Arial"/>
          <w:sz w:val="28"/>
          <w:szCs w:val="28"/>
          <w:b w:val="1"/>
          <w:bCs w:val="1"/>
          <w:color w:val="FFFFFF"/>
        </w:rPr>
        <w:drawing>
          <wp:anchor simplePos="0" relativeHeight="251657728" behindDoc="1" locked="0" layoutInCell="0" allowOverlap="1">
            <wp:simplePos x="0" y="0"/>
            <wp:positionH relativeFrom="page">
              <wp:posOffset>107315</wp:posOffset>
            </wp:positionH>
            <wp:positionV relativeFrom="page">
              <wp:posOffset>114300</wp:posOffset>
            </wp:positionV>
            <wp:extent cx="7576185" cy="9838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7">
                      <a:extLst>
                        <a:ext uri="{28A0092B-C50C-407E-A947-70E740481C1C}"/>
                      </a:extLst>
                    </a:blip>
                    <a:srcRect/>
                    <a:stretch>
                      <a:fillRect/>
                    </a:stretch>
                  </pic:blipFill>
                  <pic:spPr bwMode="auto">
                    <a:xfrm>
                      <a:off x="0" y="0"/>
                      <a:ext cx="7576185" cy="9838690"/>
                    </a:xfrm>
                    <a:prstGeom prst="rect">
                      <a:avLst/>
                    </a:prstGeom>
                    <a:noFill/>
                  </pic:spPr>
                </pic:pic>
              </a:graphicData>
            </a:graphic>
          </wp:anchor>
        </w:drawing>
        <w:t>LEADERSHIP TEAM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286FA7"/>
        </w:rPr>
        <w:t>V</w:t>
      </w:r>
      <w:r>
        <w:rPr>
          <w:rFonts w:ascii="Arial" w:cs="Arial" w:eastAsia="Arial" w:hAnsi="Arial"/>
          <w:sz w:val="16"/>
          <w:szCs w:val="16"/>
          <w:b w:val="1"/>
          <w:bCs w:val="1"/>
          <w:color w:val="2A72AA"/>
        </w:rPr>
        <w:t>ICTOR PERLROTH, MD</w:t>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FAFAFA"/>
        </w:rPr>
        <w:t>C</w:t>
      </w:r>
      <w:r>
        <w:rPr>
          <w:rFonts w:ascii="Arial" w:cs="Arial" w:eastAsia="Arial" w:hAnsi="Arial"/>
          <w:sz w:val="16"/>
          <w:szCs w:val="16"/>
          <w:color w:val="FFFFFF"/>
        </w:rPr>
        <w:t>hairman</w:t>
      </w:r>
    </w:p>
    <w:p>
      <w:pPr>
        <w:spacing w:after="0" w:line="29" w:lineRule="exact"/>
        <w:rPr>
          <w:sz w:val="20"/>
          <w:szCs w:val="20"/>
          <w:color w:val="auto"/>
        </w:rPr>
      </w:pPr>
    </w:p>
    <w:p>
      <w:pPr>
        <w:ind w:left="1920"/>
        <w:spacing w:after="0" w:line="194" w:lineRule="exact"/>
        <w:rPr>
          <w:sz w:val="20"/>
          <w:szCs w:val="20"/>
          <w:color w:val="auto"/>
        </w:rPr>
      </w:pPr>
      <w:r>
        <w:rPr>
          <w:rFonts w:ascii="Arial" w:cs="Arial" w:eastAsia="Arial" w:hAnsi="Arial"/>
          <w:sz w:val="16"/>
          <w:szCs w:val="16"/>
          <w:color w:val="FBFCFB"/>
        </w:rPr>
        <w:t>!</w:t>
      </w:r>
      <w:r>
        <w:rPr>
          <w:rFonts w:ascii="Arial" w:cs="Arial" w:eastAsia="Arial" w:hAnsi="Arial"/>
          <w:sz w:val="16"/>
          <w:szCs w:val="16"/>
          <w:color w:val="FFFFFF"/>
        </w:rPr>
        <w:t>ǝǣƺǔ</w:t>
      </w:r>
      <w:r>
        <w:rPr>
          <w:rFonts w:ascii="PMingLiU" w:cs="PMingLiU" w:eastAsia="PMingLiU" w:hAnsi="PMingLiU"/>
          <w:sz w:val="16"/>
          <w:szCs w:val="16"/>
          <w:color w:val="FFFFFF"/>
        </w:rPr>
        <w:t/>
      </w:r>
      <w:r>
        <w:rPr>
          <w:rFonts w:ascii="Arial" w:cs="Arial" w:eastAsia="Arial" w:hAnsi="Arial"/>
          <w:sz w:val="16"/>
          <w:szCs w:val="16"/>
          <w:color w:val="FFFFFF"/>
        </w:rPr>
        <w:t>0ɴƺƬɖɎǣɮƺ</w:t>
      </w:r>
      <w:r>
        <w:rPr>
          <w:rFonts w:ascii="PMingLiU" w:cs="PMingLiU" w:eastAsia="PMingLiU" w:hAnsi="PMingLiU"/>
          <w:sz w:val="16"/>
          <w:szCs w:val="16"/>
          <w:color w:val="FFFFFF"/>
        </w:rPr>
        <w:t></w:t>
      </w:r>
      <w:r>
        <w:rPr>
          <w:rFonts w:ascii="Arial" w:cs="Arial" w:eastAsia="Arial" w:hAnsi="Arial"/>
          <w:sz w:val="16"/>
          <w:szCs w:val="16"/>
          <w:color w:val="FFFFFF"/>
        </w:rPr>
        <w:t>ǔˡƬƺȸ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286FA7"/>
        </w:rPr>
        <w:t>D</w:t>
      </w:r>
      <w:r>
        <w:rPr>
          <w:rFonts w:ascii="Arial" w:cs="Arial" w:eastAsia="Arial" w:hAnsi="Arial"/>
          <w:sz w:val="16"/>
          <w:szCs w:val="16"/>
          <w:b w:val="1"/>
          <w:bCs w:val="1"/>
          <w:color w:val="2A72AA"/>
        </w:rPr>
        <w:t>OLLY S CHANG, MD, MPH, PHD</w:t>
      </w:r>
    </w:p>
    <w:p>
      <w:pPr>
        <w:spacing w:after="0" w:line="68" w:lineRule="exact"/>
        <w:rPr>
          <w:sz w:val="20"/>
          <w:szCs w:val="20"/>
          <w:color w:val="auto"/>
        </w:rPr>
      </w:pPr>
    </w:p>
    <w:p>
      <w:pPr>
        <w:ind w:left="1920"/>
        <w:spacing w:after="0" w:line="194" w:lineRule="exact"/>
        <w:rPr>
          <w:sz w:val="20"/>
          <w:szCs w:val="20"/>
          <w:color w:val="auto"/>
        </w:rPr>
      </w:pPr>
      <w:r>
        <w:rPr>
          <w:rFonts w:ascii="Arial" w:cs="Arial" w:eastAsia="Arial" w:hAnsi="Arial"/>
          <w:sz w:val="16"/>
          <w:szCs w:val="16"/>
          <w:color w:val="FAFAFA"/>
        </w:rPr>
        <w:t>!</w:t>
      </w:r>
      <w:r>
        <w:rPr>
          <w:rFonts w:ascii="Arial" w:cs="Arial" w:eastAsia="Arial" w:hAnsi="Arial"/>
          <w:sz w:val="16"/>
          <w:szCs w:val="16"/>
          <w:color w:val="FFFFFF"/>
        </w:rPr>
        <w:t>ǝǣƺǔ</w:t>
      </w:r>
      <w:r>
        <w:rPr>
          <w:rFonts w:ascii="PMingLiU" w:cs="PMingLiU" w:eastAsia="PMingLiU" w:hAnsi="PMingLiU"/>
          <w:sz w:val="16"/>
          <w:szCs w:val="16"/>
          <w:color w:val="FFFFFF"/>
        </w:rPr>
        <w:t/>
      </w:r>
      <w:r>
        <w:rPr>
          <w:rFonts w:ascii="Arial" w:cs="Arial" w:eastAsia="Arial" w:hAnsi="Arial"/>
          <w:sz w:val="16"/>
          <w:szCs w:val="16"/>
          <w:color w:val="FFFFFF"/>
        </w:rPr>
        <w:t>³ƬǣƺȇɎǣˡƬ</w:t>
      </w:r>
      <w:r>
        <w:rPr>
          <w:rFonts w:ascii="PMingLiU" w:cs="PMingLiU" w:eastAsia="PMingLiU" w:hAnsi="PMingLiU"/>
          <w:sz w:val="16"/>
          <w:szCs w:val="16"/>
          <w:color w:val="FFFFFF"/>
        </w:rPr>
        <w:t></w:t>
      </w:r>
      <w:r>
        <w:rPr>
          <w:rFonts w:ascii="Arial" w:cs="Arial" w:eastAsia="Arial" w:hAnsi="Arial"/>
          <w:sz w:val="16"/>
          <w:szCs w:val="16"/>
          <w:color w:val="FFFFFF"/>
        </w:rPr>
        <w:t>ǔˡƬƺȸ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920"/>
        <w:spacing w:after="0" w:line="194" w:lineRule="exact"/>
        <w:rPr>
          <w:sz w:val="20"/>
          <w:szCs w:val="20"/>
          <w:color w:val="auto"/>
        </w:rPr>
      </w:pPr>
      <w:r>
        <w:rPr>
          <w:rFonts w:ascii="Arial" w:cs="Arial" w:eastAsia="Arial" w:hAnsi="Arial"/>
          <w:sz w:val="16"/>
          <w:szCs w:val="16"/>
          <w:b w:val="1"/>
          <w:bCs w:val="1"/>
          <w:color w:val="2A72AA"/>
        </w:rPr>
        <w:t>¨</w:t>
      </w:r>
      <w:r>
        <w:rPr>
          <w:rFonts w:ascii="PMingLiU" w:cs="PMingLiU" w:eastAsia="PMingLiU" w:hAnsi="PMingLiU"/>
          <w:sz w:val="16"/>
          <w:szCs w:val="16"/>
          <w:b w:val="1"/>
          <w:bCs w:val="1"/>
          <w:color w:val="2A72AA"/>
        </w:rPr>
        <w:t/>
      </w:r>
      <w:r>
        <w:rPr>
          <w:rFonts w:ascii="Arial" w:cs="Arial" w:eastAsia="Arial" w:hAnsi="Arial"/>
          <w:sz w:val="16"/>
          <w:szCs w:val="16"/>
          <w:b w:val="1"/>
          <w:bCs w:val="1"/>
          <w:color w:val="2A72AA"/>
        </w:rPr>
        <w:t xml:space="preserve"> n</w:t>
      </w:r>
      <w:r>
        <w:rPr>
          <w:rFonts w:ascii="PMingLiU" w:cs="PMingLiU" w:eastAsia="PMingLiU" w:hAnsi="PMingLiU"/>
          <w:sz w:val="16"/>
          <w:szCs w:val="16"/>
          <w:b w:val="1"/>
          <w:bCs w:val="1"/>
          <w:color w:val="2A72AA"/>
        </w:rPr>
        <w:t></w:t>
      </w:r>
      <w:r>
        <w:rPr>
          <w:rFonts w:ascii="Arial" w:cs="Arial" w:eastAsia="Arial" w:hAnsi="Arial"/>
          <w:sz w:val="16"/>
          <w:szCs w:val="16"/>
          <w:b w:val="1"/>
          <w:bCs w:val="1"/>
          <w:color w:val="2A72AA"/>
        </w:rPr>
        <w:t>à0n</w:t>
      </w:r>
      <w:r>
        <w:rPr>
          <w:rFonts w:ascii="PMingLiU" w:cs="PMingLiU" w:eastAsia="PMingLiU" w:hAnsi="PMingLiU"/>
          <w:sz w:val="16"/>
          <w:szCs w:val="16"/>
          <w:b w:val="1"/>
          <w:bCs w:val="1"/>
          <w:color w:val="2A72AA"/>
        </w:rPr>
        <w:t/>
      </w:r>
      <w:r>
        <w:rPr>
          <w:rFonts w:ascii="Arial" w:cs="Arial" w:eastAsia="Arial" w:hAnsi="Arial"/>
          <w:sz w:val="16"/>
          <w:szCs w:val="16"/>
          <w:b w:val="1"/>
          <w:bCs w:val="1"/>
          <w:color w:val="2A72AA"/>
        </w:rPr>
        <w:t>ñªÈ0ñٳx</w:t>
      </w:r>
      <w:r>
        <w:rPr>
          <w:rFonts w:ascii="PMingLiU" w:cs="PMingLiU" w:eastAsia="PMingLiU" w:hAnsi="PMingLiU"/>
          <w:sz w:val="16"/>
          <w:szCs w:val="16"/>
          <w:b w:val="1"/>
          <w:bCs w:val="1"/>
          <w:color w:val="2A72AA"/>
        </w:rPr>
        <w:t/>
      </w:r>
      <w:r>
        <w:rPr>
          <w:rFonts w:ascii="Arial" w:cs="Arial" w:eastAsia="Arial" w:hAnsi="Arial"/>
          <w:sz w:val="16"/>
          <w:szCs w:val="16"/>
          <w:b w:val="1"/>
          <w:bCs w:val="1"/>
          <w:color w:val="2A72AA"/>
        </w:rPr>
        <w:t>«ÁXzً</w:t>
      </w:r>
      <w:r>
        <w:rPr>
          <w:rFonts w:ascii="PMingLiU" w:cs="PMingLiU" w:eastAsia="PMingLiU" w:hAnsi="PMingLiU"/>
          <w:sz w:val="16"/>
          <w:szCs w:val="16"/>
          <w:b w:val="1"/>
          <w:bCs w:val="1"/>
          <w:color w:val="2A72AA"/>
        </w:rPr>
        <w:t/>
      </w:r>
      <w:r>
        <w:rPr>
          <w:rFonts w:ascii="Arial" w:cs="Arial" w:eastAsia="Arial" w:hAnsi="Arial"/>
          <w:sz w:val="16"/>
          <w:szCs w:val="16"/>
          <w:b w:val="1"/>
          <w:bCs w:val="1"/>
          <w:color w:val="2A72AA"/>
        </w:rPr>
        <w:t>x(</w:t>
      </w:r>
    </w:p>
    <w:p>
      <w:pPr>
        <w:spacing w:after="0" w:line="56" w:lineRule="exact"/>
        <w:rPr>
          <w:sz w:val="20"/>
          <w:szCs w:val="20"/>
          <w:color w:val="auto"/>
        </w:rPr>
      </w:pPr>
    </w:p>
    <w:p>
      <w:pPr>
        <w:ind w:left="1920"/>
        <w:spacing w:after="0" w:line="194" w:lineRule="exact"/>
        <w:rPr>
          <w:sz w:val="20"/>
          <w:szCs w:val="20"/>
          <w:color w:val="auto"/>
        </w:rPr>
      </w:pPr>
      <w:r>
        <w:rPr>
          <w:rFonts w:ascii="Arial" w:cs="Arial" w:eastAsia="Arial" w:hAnsi="Arial"/>
          <w:sz w:val="16"/>
          <w:szCs w:val="16"/>
          <w:color w:val="FFFFFF"/>
        </w:rPr>
        <w:t>!ǝǣƺǔ</w:t>
      </w:r>
      <w:r>
        <w:rPr>
          <w:rFonts w:ascii="PMingLiU" w:cs="PMingLiU" w:eastAsia="PMingLiU" w:hAnsi="PMingLiU"/>
          <w:sz w:val="16"/>
          <w:szCs w:val="16"/>
          <w:color w:val="FFFFFF"/>
        </w:rPr>
        <w:t/>
      </w:r>
      <w:r>
        <w:rPr>
          <w:rFonts w:ascii="Arial" w:cs="Arial" w:eastAsia="Arial" w:hAnsi="Arial"/>
          <w:sz w:val="16"/>
          <w:szCs w:val="16"/>
          <w:color w:val="FFFFFF"/>
        </w:rPr>
        <w:t>xƺƳǣƬƏǼ</w:t>
      </w:r>
      <w:r>
        <w:rPr>
          <w:rFonts w:ascii="PMingLiU" w:cs="PMingLiU" w:eastAsia="PMingLiU" w:hAnsi="PMingLiU"/>
          <w:sz w:val="16"/>
          <w:szCs w:val="16"/>
          <w:color w:val="FFFFFF"/>
        </w:rPr>
        <w:t></w:t>
      </w:r>
      <w:r>
        <w:rPr>
          <w:rFonts w:ascii="Arial" w:cs="Arial" w:eastAsia="Arial" w:hAnsi="Arial"/>
          <w:sz w:val="16"/>
          <w:szCs w:val="16"/>
          <w:color w:val="FFFFFF"/>
        </w:rPr>
        <w:t>ǔˡƬƺȸ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2971A8"/>
        </w:rPr>
        <w:t>H</w:t>
      </w:r>
      <w:r>
        <w:rPr>
          <w:rFonts w:ascii="Arial" w:cs="Arial" w:eastAsia="Arial" w:hAnsi="Arial"/>
          <w:sz w:val="16"/>
          <w:szCs w:val="16"/>
          <w:b w:val="1"/>
          <w:bCs w:val="1"/>
          <w:color w:val="2A72AA"/>
        </w:rPr>
        <w:t>ONG LIANG, PHD</w:t>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FAFAFA"/>
        </w:rPr>
        <w:t>S</w:t>
      </w:r>
      <w:r>
        <w:rPr>
          <w:rFonts w:ascii="Arial" w:cs="Arial" w:eastAsia="Arial" w:hAnsi="Arial"/>
          <w:sz w:val="16"/>
          <w:szCs w:val="16"/>
          <w:color w:val="FFFFFF"/>
        </w:rPr>
        <w:t>enior Vice President,</w:t>
      </w:r>
    </w:p>
    <w:p>
      <w:pPr>
        <w:spacing w:after="0" w:line="31" w:lineRule="exact"/>
        <w:rPr>
          <w:sz w:val="20"/>
          <w:szCs w:val="20"/>
          <w:color w:val="auto"/>
        </w:rPr>
      </w:pPr>
    </w:p>
    <w:p>
      <w:pPr>
        <w:ind w:left="1920"/>
        <w:spacing w:after="0"/>
        <w:rPr>
          <w:sz w:val="20"/>
          <w:szCs w:val="20"/>
          <w:color w:val="auto"/>
        </w:rPr>
      </w:pPr>
      <w:r>
        <w:rPr>
          <w:rFonts w:ascii="Arial" w:cs="Arial" w:eastAsia="Arial" w:hAnsi="Arial"/>
          <w:sz w:val="16"/>
          <w:szCs w:val="16"/>
          <w:color w:val="F6F7F5"/>
        </w:rPr>
        <w:t>D</w:t>
      </w:r>
      <w:r>
        <w:rPr>
          <w:rFonts w:ascii="Arial" w:cs="Arial" w:eastAsia="Arial" w:hAnsi="Arial"/>
          <w:sz w:val="16"/>
          <w:szCs w:val="16"/>
          <w:color w:val="FFFFFF"/>
        </w:rPr>
        <w:t>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2971A8"/>
        </w:rPr>
        <w:t>G</w:t>
      </w:r>
      <w:r>
        <w:rPr>
          <w:rFonts w:ascii="Arial" w:cs="Arial" w:eastAsia="Arial" w:hAnsi="Arial"/>
          <w:sz w:val="16"/>
          <w:szCs w:val="16"/>
          <w:b w:val="1"/>
          <w:bCs w:val="1"/>
          <w:color w:val="2A72AA"/>
        </w:rPr>
        <w:t>ORTON CHIU</w:t>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FAFAFA"/>
        </w:rPr>
        <w:t>V</w:t>
      </w:r>
      <w:r>
        <w:rPr>
          <w:rFonts w:ascii="Arial" w:cs="Arial" w:eastAsia="Arial" w:hAnsi="Arial"/>
          <w:sz w:val="16"/>
          <w:szCs w:val="16"/>
          <w:color w:val="FFFFFF"/>
        </w:rPr>
        <w:t>ice President,</w:t>
      </w:r>
    </w:p>
    <w:p>
      <w:pPr>
        <w:spacing w:after="0" w:line="29" w:lineRule="exact"/>
        <w:rPr>
          <w:sz w:val="20"/>
          <w:szCs w:val="20"/>
          <w:color w:val="auto"/>
        </w:rPr>
      </w:pPr>
    </w:p>
    <w:p>
      <w:pPr>
        <w:ind w:left="1920"/>
        <w:spacing w:after="0"/>
        <w:rPr>
          <w:sz w:val="20"/>
          <w:szCs w:val="20"/>
          <w:color w:val="auto"/>
        </w:rPr>
      </w:pPr>
      <w:r>
        <w:rPr>
          <w:rFonts w:ascii="Arial" w:cs="Arial" w:eastAsia="Arial" w:hAnsi="Arial"/>
          <w:sz w:val="16"/>
          <w:szCs w:val="16"/>
          <w:color w:val="F7F8F6"/>
        </w:rPr>
        <w:t>F</w:t>
      </w:r>
      <w:r>
        <w:rPr>
          <w:rFonts w:ascii="Arial" w:cs="Arial" w:eastAsia="Arial" w:hAnsi="Arial"/>
          <w:sz w:val="16"/>
          <w:szCs w:val="16"/>
          <w:color w:val="FFFFFF"/>
        </w:rPr>
        <w:t>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276DA6"/>
          <w:highlight w:val="black"/>
        </w:rPr>
        <w:t>J</w:t>
      </w:r>
      <w:r>
        <w:rPr>
          <w:rFonts w:ascii="Arial" w:cs="Arial" w:eastAsia="Arial" w:hAnsi="Arial"/>
          <w:sz w:val="16"/>
          <w:szCs w:val="16"/>
          <w:b w:val="1"/>
          <w:bCs w:val="1"/>
          <w:color w:val="2A72AA"/>
        </w:rPr>
        <w:t>OHN BORGESON</w:t>
      </w:r>
    </w:p>
    <w:p>
      <w:pPr>
        <w:spacing w:after="0" w:line="31" w:lineRule="exact"/>
        <w:rPr>
          <w:sz w:val="20"/>
          <w:szCs w:val="20"/>
          <w:color w:val="auto"/>
        </w:rPr>
      </w:pPr>
    </w:p>
    <w:p>
      <w:pPr>
        <w:spacing w:after="0" w:line="194" w:lineRule="exact"/>
        <w:rPr>
          <w:sz w:val="20"/>
          <w:szCs w:val="20"/>
          <w:color w:val="auto"/>
        </w:rPr>
      </w:pPr>
      <w:r>
        <w:rPr>
          <w:rFonts w:ascii="Arial" w:cs="Arial" w:eastAsia="Arial" w:hAnsi="Arial"/>
          <w:sz w:val="16"/>
          <w:szCs w:val="16"/>
          <w:color w:val="FAFAFA"/>
          <w:highlight w:val="black"/>
        </w:rPr>
        <w:t>!</w:t>
      </w:r>
      <w:r>
        <w:rPr>
          <w:rFonts w:ascii="Arial" w:cs="Arial" w:eastAsia="Arial" w:hAnsi="Arial"/>
          <w:sz w:val="16"/>
          <w:szCs w:val="16"/>
          <w:color w:val="FFFFFF"/>
        </w:rPr>
        <w:t>ǝǣƺǔ</w:t>
      </w:r>
      <w:r>
        <w:rPr>
          <w:rFonts w:ascii="PMingLiU" w:cs="PMingLiU" w:eastAsia="PMingLiU" w:hAnsi="PMingLiU"/>
          <w:sz w:val="16"/>
          <w:szCs w:val="16"/>
          <w:color w:val="FFFFFF"/>
        </w:rPr>
        <w:t/>
      </w:r>
      <w:r>
        <w:rPr>
          <w:rFonts w:ascii="Arial" w:cs="Arial" w:eastAsia="Arial" w:hAnsi="Arial"/>
          <w:sz w:val="16"/>
          <w:szCs w:val="16"/>
          <w:color w:val="FFFFFF"/>
        </w:rPr>
        <w:t>IǣȇƏȇƬǣƏǼ</w:t>
      </w:r>
      <w:r>
        <w:rPr>
          <w:rFonts w:ascii="PMingLiU" w:cs="PMingLiU" w:eastAsia="PMingLiU" w:hAnsi="PMingLiU"/>
          <w:sz w:val="16"/>
          <w:szCs w:val="16"/>
          <w:color w:val="FFFFFF"/>
        </w:rPr>
        <w:t></w:t>
      </w:r>
      <w:r>
        <w:rPr>
          <w:rFonts w:ascii="Arial" w:cs="Arial" w:eastAsia="Arial" w:hAnsi="Arial"/>
          <w:sz w:val="16"/>
          <w:szCs w:val="16"/>
          <w:color w:val="FFFFFF"/>
        </w:rPr>
        <w:t>ǔˡƬƺȸ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276DA6"/>
          <w:highlight w:val="black"/>
        </w:rPr>
        <w:t>A</w:t>
      </w:r>
      <w:r>
        <w:rPr>
          <w:rFonts w:ascii="Arial" w:cs="Arial" w:eastAsia="Arial" w:hAnsi="Arial"/>
          <w:sz w:val="16"/>
          <w:szCs w:val="16"/>
          <w:b w:val="1"/>
          <w:bCs w:val="1"/>
          <w:color w:val="2A72AA"/>
        </w:rPr>
        <w:t>LMAS QUDRAT, MSC</w:t>
      </w:r>
    </w:p>
    <w:p>
      <w:pPr>
        <w:spacing w:after="0" w:line="66" w:lineRule="exact"/>
        <w:rPr>
          <w:sz w:val="20"/>
          <w:szCs w:val="20"/>
          <w:color w:val="auto"/>
        </w:rPr>
      </w:pPr>
    </w:p>
    <w:p>
      <w:pPr>
        <w:spacing w:after="0" w:line="194" w:lineRule="exact"/>
        <w:rPr>
          <w:sz w:val="20"/>
          <w:szCs w:val="20"/>
          <w:color w:val="auto"/>
        </w:rPr>
      </w:pPr>
      <w:r>
        <w:rPr>
          <w:rFonts w:ascii="Arial" w:cs="Arial" w:eastAsia="Arial" w:hAnsi="Arial"/>
          <w:sz w:val="16"/>
          <w:szCs w:val="16"/>
          <w:color w:val="FAFAFA"/>
          <w:highlight w:val="black"/>
        </w:rPr>
        <w:t>!</w:t>
      </w:r>
      <w:r>
        <w:rPr>
          <w:rFonts w:ascii="Arial" w:cs="Arial" w:eastAsia="Arial" w:hAnsi="Arial"/>
          <w:sz w:val="16"/>
          <w:szCs w:val="16"/>
          <w:color w:val="FFFFFF"/>
        </w:rPr>
        <w:t>ǝǣƺǔ</w:t>
      </w:r>
      <w:r>
        <w:rPr>
          <w:rFonts w:ascii="PMingLiU" w:cs="PMingLiU" w:eastAsia="PMingLiU" w:hAnsi="PMingLiU"/>
          <w:sz w:val="16"/>
          <w:szCs w:val="16"/>
          <w:color w:val="FFFFFF"/>
        </w:rPr>
        <w:t/>
      </w:r>
      <w:r>
        <w:rPr>
          <w:rFonts w:ascii="Arial" w:cs="Arial" w:eastAsia="Arial" w:hAnsi="Arial"/>
          <w:sz w:val="16"/>
          <w:szCs w:val="16"/>
          <w:color w:val="FFFFFF"/>
        </w:rPr>
        <w:t>ªɖƏǼǣɎɵ</w:t>
      </w:r>
      <w:r>
        <w:rPr>
          <w:rFonts w:ascii="PMingLiU" w:cs="PMingLiU" w:eastAsia="PMingLiU" w:hAnsi="PMingLiU"/>
          <w:sz w:val="16"/>
          <w:szCs w:val="16"/>
          <w:color w:val="FFFFFF"/>
        </w:rPr>
        <w:t></w:t>
      </w:r>
      <w:r>
        <w:rPr>
          <w:rFonts w:ascii="Arial" w:cs="Arial" w:eastAsia="Arial" w:hAnsi="Arial"/>
          <w:sz w:val="16"/>
          <w:szCs w:val="16"/>
          <w:color w:val="FFFFFF"/>
        </w:rPr>
        <w:t>ǔˡƬƺȸ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2A72AA"/>
        </w:rPr>
        <w:t>LAURENT DUCRY, PHD</w:t>
      </w:r>
    </w:p>
    <w:p>
      <w:pPr>
        <w:spacing w:after="0" w:line="68" w:lineRule="exact"/>
        <w:rPr>
          <w:sz w:val="20"/>
          <w:szCs w:val="20"/>
          <w:color w:val="auto"/>
        </w:rPr>
      </w:pPr>
    </w:p>
    <w:p>
      <w:pPr>
        <w:ind w:right="1020"/>
        <w:spacing w:after="0" w:line="291" w:lineRule="auto"/>
        <w:rPr>
          <w:sz w:val="20"/>
          <w:szCs w:val="20"/>
          <w:color w:val="auto"/>
        </w:rPr>
      </w:pPr>
      <w:r>
        <w:rPr>
          <w:rFonts w:ascii="Arial" w:cs="Arial" w:eastAsia="Arial" w:hAnsi="Arial"/>
          <w:sz w:val="16"/>
          <w:szCs w:val="16"/>
          <w:color w:val="FFFFFF"/>
        </w:rPr>
        <w:t>Senior Vice President, Biologics Development and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2971A8"/>
        </w:rPr>
        <w:t>ST</w:t>
      </w:r>
      <w:r>
        <w:rPr>
          <w:rFonts w:ascii="Arial" w:cs="Arial" w:eastAsia="Arial" w:hAnsi="Arial"/>
          <w:sz w:val="16"/>
          <w:szCs w:val="16"/>
          <w:b w:val="1"/>
          <w:bCs w:val="1"/>
          <w:color w:val="2A72AA"/>
        </w:rPr>
        <w:t>EPHEN RAILLARD, PHD</w:t>
      </w:r>
    </w:p>
    <w:p>
      <w:pPr>
        <w:spacing w:after="0" w:line="66" w:lineRule="exact"/>
        <w:rPr>
          <w:sz w:val="20"/>
          <w:szCs w:val="20"/>
          <w:color w:val="auto"/>
        </w:rPr>
      </w:pPr>
    </w:p>
    <w:p>
      <w:pPr>
        <w:ind w:right="1360"/>
        <w:spacing w:after="0" w:line="277" w:lineRule="auto"/>
        <w:rPr>
          <w:sz w:val="20"/>
          <w:szCs w:val="20"/>
          <w:color w:val="auto"/>
        </w:rPr>
      </w:pPr>
      <w:r>
        <w:rPr>
          <w:rFonts w:ascii="Arial" w:cs="Arial" w:eastAsia="Arial" w:hAnsi="Arial"/>
          <w:sz w:val="16"/>
          <w:szCs w:val="16"/>
          <w:color w:val="FAFAFA"/>
          <w:highlight w:val="black"/>
        </w:rPr>
        <w:t>Se</w:t>
      </w:r>
      <w:r>
        <w:rPr>
          <w:rFonts w:ascii="Arial" w:cs="Arial" w:eastAsia="Arial" w:hAnsi="Arial"/>
          <w:sz w:val="16"/>
          <w:szCs w:val="16"/>
          <w:color w:val="FFFFFF"/>
        </w:rPr>
        <w:t>nior Vice President,</w:t>
      </w:r>
      <w:r>
        <w:rPr>
          <w:rFonts w:ascii="Arial" w:cs="Arial" w:eastAsia="Arial" w:hAnsi="Arial"/>
          <w:sz w:val="16"/>
          <w:szCs w:val="16"/>
          <w:color w:val="FAFAFA"/>
          <w:highlight w:val="black"/>
        </w:rPr>
        <w:t xml:space="preserve"> C</w:t>
      </w:r>
      <w:r>
        <w:rPr>
          <w:rFonts w:ascii="Arial" w:cs="Arial" w:eastAsia="Arial" w:hAnsi="Arial"/>
          <w:sz w:val="16"/>
          <w:szCs w:val="16"/>
          <w:color w:val="FFFFFF"/>
        </w:rPr>
        <w:t>hemical Development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5F6F4"/>
        </w:rPr>
        <w:t>a</w:t>
      </w:r>
      <w:r>
        <w:rPr>
          <w:rFonts w:ascii="Arial" w:cs="Arial" w:eastAsia="Arial" w:hAnsi="Arial"/>
          <w:sz w:val="16"/>
          <w:szCs w:val="16"/>
          <w:color w:val="FFFFFF"/>
        </w:rPr>
        <w:t>nd Manufacturing</w:t>
      </w:r>
    </w:p>
    <w:p>
      <w:pPr>
        <w:spacing w:after="0" w:line="2310" w:lineRule="exact"/>
        <w:rPr>
          <w:sz w:val="20"/>
          <w:szCs w:val="20"/>
          <w:color w:val="auto"/>
        </w:rPr>
      </w:pPr>
    </w:p>
    <w:p>
      <w:pPr>
        <w:sectPr>
          <w:pgSz w:w="12240" w:h="15840" w:orient="portrait"/>
          <w:cols w:equalWidth="0" w:num="2">
            <w:col w:w="6920" w:space="720"/>
            <w:col w:w="3260"/>
          </w:cols>
          <w:pgMar w:left="880" w:top="619" w:right="4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tcPr>
          <w:p>
            <w:pPr>
              <w:spacing w:after="0"/>
              <w:rPr>
                <w:sz w:val="20"/>
                <w:szCs w:val="20"/>
                <w:color w:val="auto"/>
              </w:rPr>
            </w:pPr>
            <w:r>
              <w:rPr>
                <w:rFonts w:ascii="Arial" w:cs="Arial" w:eastAsia="Arial" w:hAnsi="Arial"/>
                <w:sz w:val="22"/>
                <w:szCs w:val="22"/>
                <w:b w:val="1"/>
                <w:bCs w:val="1"/>
                <w:color w:val="FFFFFF"/>
              </w:rPr>
              <w:t>BOARD OF DIRECTORS</w:t>
            </w:r>
          </w:p>
        </w:tc>
        <w:tc>
          <w:tcPr>
            <w:tcW w:w="3320" w:type="dxa"/>
            <w:vAlign w:val="bottom"/>
          </w:tcPr>
          <w:p>
            <w:pPr>
              <w:ind w:left="200"/>
              <w:spacing w:after="0"/>
              <w:rPr>
                <w:sz w:val="20"/>
                <w:szCs w:val="20"/>
                <w:color w:val="auto"/>
              </w:rPr>
            </w:pPr>
            <w:r>
              <w:rPr>
                <w:rFonts w:ascii="Arial" w:cs="Arial" w:eastAsia="Arial" w:hAnsi="Arial"/>
                <w:sz w:val="16"/>
                <w:szCs w:val="16"/>
                <w:b w:val="1"/>
                <w:bCs w:val="1"/>
                <w:color w:val="2A72AA"/>
              </w:rPr>
              <w:t>Charles A. Bancroft</w:t>
            </w:r>
          </w:p>
        </w:tc>
        <w:tc>
          <w:tcPr>
            <w:tcW w:w="3520" w:type="dxa"/>
            <w:vAlign w:val="bottom"/>
          </w:tcPr>
          <w:p>
            <w:pPr>
              <w:ind w:left="180"/>
              <w:spacing w:after="0"/>
              <w:rPr>
                <w:sz w:val="20"/>
                <w:szCs w:val="20"/>
                <w:color w:val="auto"/>
              </w:rPr>
            </w:pPr>
            <w:r>
              <w:rPr>
                <w:rFonts w:ascii="Arial" w:cs="Arial" w:eastAsia="Arial" w:hAnsi="Arial"/>
                <w:sz w:val="16"/>
                <w:szCs w:val="16"/>
                <w:b w:val="1"/>
                <w:bCs w:val="1"/>
                <w:color w:val="2A72AA"/>
              </w:rPr>
              <w:t>Taiyin Yang PhD</w:t>
            </w:r>
          </w:p>
        </w:tc>
        <w:tc>
          <w:tcPr>
            <w:tcW w:w="0" w:type="dxa"/>
            <w:vAlign w:val="bottom"/>
          </w:tcPr>
          <w:p>
            <w:pPr>
              <w:spacing w:after="0"/>
              <w:rPr>
                <w:sz w:val="1"/>
                <w:szCs w:val="1"/>
                <w:color w:val="auto"/>
              </w:rPr>
            </w:pPr>
          </w:p>
        </w:tc>
      </w:tr>
      <w:tr>
        <w:trPr>
          <w:trHeight w:val="184"/>
        </w:trPr>
        <w:tc>
          <w:tcPr>
            <w:tcW w:w="3100" w:type="dxa"/>
            <w:vAlign w:val="bottom"/>
            <w:vMerge w:val="restart"/>
          </w:tcPr>
          <w:p>
            <w:pPr>
              <w:spacing w:after="0"/>
              <w:rPr>
                <w:sz w:val="20"/>
                <w:szCs w:val="20"/>
                <w:color w:val="auto"/>
              </w:rPr>
            </w:pPr>
            <w:r>
              <w:rPr>
                <w:rFonts w:ascii="Arial" w:cs="Arial" w:eastAsia="Arial" w:hAnsi="Arial"/>
                <w:sz w:val="17"/>
                <w:szCs w:val="17"/>
                <w:b w:val="1"/>
                <w:bCs w:val="1"/>
                <w:color w:val="FFFFFF"/>
              </w:rPr>
              <w:t>DEEP BIOTECH &amp;</w:t>
            </w:r>
          </w:p>
        </w:tc>
        <w:tc>
          <w:tcPr>
            <w:tcW w:w="3320" w:type="dxa"/>
            <w:vAlign w:val="bottom"/>
          </w:tcPr>
          <w:p>
            <w:pPr>
              <w:ind w:left="200"/>
              <w:spacing w:after="0"/>
              <w:rPr>
                <w:sz w:val="20"/>
                <w:szCs w:val="20"/>
                <w:color w:val="auto"/>
              </w:rPr>
            </w:pPr>
            <w:r>
              <w:rPr>
                <w:rFonts w:ascii="Arial" w:cs="Arial" w:eastAsia="Arial" w:hAnsi="Arial"/>
                <w:sz w:val="15"/>
                <w:szCs w:val="15"/>
                <w:color w:val="FFFFFF"/>
              </w:rPr>
              <w:t>Formerly CFO | Bristol Myers Squibb</w:t>
            </w:r>
          </w:p>
        </w:tc>
        <w:tc>
          <w:tcPr>
            <w:tcW w:w="3520" w:type="dxa"/>
            <w:vAlign w:val="bottom"/>
          </w:tcPr>
          <w:p>
            <w:pPr>
              <w:ind w:left="180"/>
              <w:spacing w:after="0"/>
              <w:rPr>
                <w:sz w:val="20"/>
                <w:szCs w:val="20"/>
                <w:color w:val="auto"/>
              </w:rPr>
            </w:pPr>
            <w:r>
              <w:rPr>
                <w:rFonts w:ascii="Arial" w:cs="Arial" w:eastAsia="Arial" w:hAnsi="Arial"/>
                <w:sz w:val="15"/>
                <w:szCs w:val="15"/>
                <w:color w:val="FFFFFF"/>
              </w:rPr>
              <w:t>Formerly EVP, Pharmaceutical Development</w:t>
            </w:r>
          </w:p>
        </w:tc>
        <w:tc>
          <w:tcPr>
            <w:tcW w:w="0" w:type="dxa"/>
            <w:vAlign w:val="bottom"/>
          </w:tcPr>
          <w:p>
            <w:pPr>
              <w:spacing w:after="0"/>
              <w:rPr>
                <w:sz w:val="1"/>
                <w:szCs w:val="1"/>
                <w:color w:val="auto"/>
              </w:rPr>
            </w:pPr>
          </w:p>
        </w:tc>
      </w:tr>
      <w:tr>
        <w:trPr>
          <w:trHeight w:val="78"/>
        </w:trPr>
        <w:tc>
          <w:tcPr>
            <w:tcW w:w="310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3520" w:type="dxa"/>
            <w:vAlign w:val="bottom"/>
            <w:vMerge w:val="restart"/>
          </w:tcPr>
          <w:p>
            <w:pPr>
              <w:ind w:left="180"/>
              <w:spacing w:after="0"/>
              <w:rPr>
                <w:sz w:val="20"/>
                <w:szCs w:val="20"/>
                <w:color w:val="auto"/>
              </w:rPr>
            </w:pPr>
            <w:r>
              <w:rPr>
                <w:rFonts w:ascii="Arial" w:cs="Arial" w:eastAsia="Arial" w:hAnsi="Arial"/>
                <w:sz w:val="15"/>
                <w:szCs w:val="15"/>
                <w:color w:val="FFFFFF"/>
              </w:rPr>
              <w:t>&amp; Manufacturing | Gilead Sciences Inc.</w:t>
            </w:r>
          </w:p>
        </w:tc>
        <w:tc>
          <w:tcPr>
            <w:tcW w:w="0" w:type="dxa"/>
            <w:vAlign w:val="bottom"/>
          </w:tcPr>
          <w:p>
            <w:pPr>
              <w:spacing w:after="0"/>
              <w:rPr>
                <w:sz w:val="1"/>
                <w:szCs w:val="1"/>
                <w:color w:val="auto"/>
              </w:rPr>
            </w:pPr>
          </w:p>
        </w:tc>
      </w:tr>
      <w:tr>
        <w:trPr>
          <w:trHeight w:val="115"/>
        </w:trPr>
        <w:tc>
          <w:tcPr>
            <w:tcW w:w="3100" w:type="dxa"/>
            <w:vAlign w:val="bottom"/>
            <w:vMerge w:val="restart"/>
          </w:tcPr>
          <w:p>
            <w:pPr>
              <w:spacing w:after="0"/>
              <w:rPr>
                <w:sz w:val="20"/>
                <w:szCs w:val="20"/>
                <w:color w:val="auto"/>
              </w:rPr>
            </w:pPr>
            <w:r>
              <w:rPr>
                <w:rFonts w:ascii="Arial" w:cs="Arial" w:eastAsia="Arial" w:hAnsi="Arial"/>
                <w:sz w:val="17"/>
                <w:szCs w:val="17"/>
                <w:b w:val="1"/>
                <w:bCs w:val="1"/>
                <w:color w:val="FFFFFF"/>
              </w:rPr>
              <w:t>GOVERNANCE EXPERIENCE</w:t>
            </w:r>
          </w:p>
        </w:tc>
        <w:tc>
          <w:tcPr>
            <w:tcW w:w="3320" w:type="dxa"/>
            <w:vAlign w:val="bottom"/>
            <w:vMerge w:val="restart"/>
          </w:tcPr>
          <w:p>
            <w:pPr>
              <w:ind w:left="200"/>
              <w:spacing w:after="0"/>
              <w:rPr>
                <w:sz w:val="20"/>
                <w:szCs w:val="20"/>
                <w:color w:val="auto"/>
              </w:rPr>
            </w:pPr>
            <w:r>
              <w:rPr>
                <w:rFonts w:ascii="Arial" w:cs="Arial" w:eastAsia="Arial" w:hAnsi="Arial"/>
                <w:sz w:val="16"/>
                <w:szCs w:val="16"/>
                <w:b w:val="1"/>
                <w:bCs w:val="1"/>
                <w:color w:val="2A72AA"/>
              </w:rPr>
              <w:t>Bassil I. Dahiyat PhD</w:t>
            </w:r>
          </w:p>
        </w:tc>
        <w:tc>
          <w:tcPr>
            <w:tcW w:w="3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10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3320" w:type="dxa"/>
            <w:vAlign w:val="bottom"/>
          </w:tcPr>
          <w:p>
            <w:pPr>
              <w:ind w:left="200"/>
              <w:spacing w:after="0"/>
              <w:rPr>
                <w:sz w:val="20"/>
                <w:szCs w:val="20"/>
                <w:color w:val="auto"/>
              </w:rPr>
            </w:pPr>
            <w:r>
              <w:rPr>
                <w:rFonts w:ascii="Arial" w:cs="Arial" w:eastAsia="Arial" w:hAnsi="Arial"/>
                <w:sz w:val="15"/>
                <w:szCs w:val="15"/>
                <w:color w:val="FFFFFF"/>
              </w:rPr>
              <w:t>President &amp; CEO | Xencor Inc.</w:t>
            </w:r>
          </w:p>
        </w:tc>
        <w:tc>
          <w:tcPr>
            <w:tcW w:w="3520" w:type="dxa"/>
            <w:vAlign w:val="bottom"/>
            <w:vMerge w:val="restart"/>
          </w:tcPr>
          <w:p>
            <w:pPr>
              <w:ind w:left="500"/>
              <w:spacing w:after="0"/>
              <w:rPr>
                <w:sz w:val="20"/>
                <w:szCs w:val="20"/>
                <w:color w:val="auto"/>
              </w:rPr>
            </w:pPr>
            <w:r>
              <w:rPr>
                <w:rFonts w:ascii="Arial" w:cs="Arial" w:eastAsia="Arial" w:hAnsi="Arial"/>
                <w:sz w:val="22"/>
                <w:szCs w:val="22"/>
                <w:b w:val="1"/>
                <w:bCs w:val="1"/>
                <w:color w:val="FFFFFF"/>
              </w:rPr>
              <w:t>ANNUAL MEETING</w:t>
            </w:r>
          </w:p>
        </w:tc>
        <w:tc>
          <w:tcPr>
            <w:tcW w:w="0" w:type="dxa"/>
            <w:vAlign w:val="bottom"/>
          </w:tcPr>
          <w:p>
            <w:pPr>
              <w:spacing w:after="0"/>
              <w:rPr>
                <w:sz w:val="1"/>
                <w:szCs w:val="1"/>
                <w:color w:val="auto"/>
              </w:rPr>
            </w:pPr>
          </w:p>
        </w:tc>
      </w:tr>
      <w:tr>
        <w:trPr>
          <w:trHeight w:val="209"/>
        </w:trPr>
        <w:tc>
          <w:tcPr>
            <w:tcW w:w="3100" w:type="dxa"/>
            <w:vAlign w:val="bottom"/>
            <w:vMerge w:val="restart"/>
          </w:tcPr>
          <w:p>
            <w:pPr>
              <w:spacing w:after="0"/>
              <w:rPr>
                <w:sz w:val="20"/>
                <w:szCs w:val="20"/>
                <w:color w:val="auto"/>
              </w:rPr>
            </w:pPr>
            <w:r>
              <w:rPr>
                <w:rFonts w:ascii="Arial" w:cs="Arial" w:eastAsia="Arial" w:hAnsi="Arial"/>
                <w:sz w:val="16"/>
                <w:szCs w:val="16"/>
                <w:b w:val="1"/>
                <w:bCs w:val="1"/>
                <w:color w:val="2A72AA"/>
              </w:rPr>
              <w:t>Victor Perlroth MD</w:t>
            </w:r>
          </w:p>
        </w:tc>
        <w:tc>
          <w:tcPr>
            <w:tcW w:w="3320" w:type="dxa"/>
            <w:vAlign w:val="bottom"/>
            <w:vMerge w:val="restart"/>
          </w:tcPr>
          <w:p>
            <w:pPr>
              <w:ind w:left="200"/>
              <w:spacing w:after="0"/>
              <w:rPr>
                <w:sz w:val="20"/>
                <w:szCs w:val="20"/>
                <w:color w:val="auto"/>
              </w:rPr>
            </w:pPr>
            <w:r>
              <w:rPr>
                <w:rFonts w:ascii="Arial" w:cs="Arial" w:eastAsia="Arial" w:hAnsi="Arial"/>
                <w:sz w:val="16"/>
                <w:szCs w:val="16"/>
                <w:b w:val="1"/>
                <w:bCs w:val="1"/>
                <w:color w:val="2A72AA"/>
              </w:rPr>
              <w:t>Richard S. Levy MD</w:t>
            </w:r>
          </w:p>
        </w:tc>
        <w:tc>
          <w:tcPr>
            <w:tcW w:w="3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310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3520" w:type="dxa"/>
            <w:vAlign w:val="bottom"/>
            <w:vMerge w:val="restart"/>
          </w:tcPr>
          <w:p>
            <w:pPr>
              <w:ind w:left="500"/>
              <w:spacing w:after="0"/>
              <w:rPr>
                <w:sz w:val="20"/>
                <w:szCs w:val="20"/>
                <w:color w:val="auto"/>
              </w:rPr>
            </w:pPr>
            <w:r>
              <w:rPr>
                <w:rFonts w:ascii="Arial" w:cs="Arial" w:eastAsia="Arial" w:hAnsi="Arial"/>
                <w:sz w:val="19"/>
                <w:szCs w:val="19"/>
                <w:b w:val="1"/>
                <w:bCs w:val="1"/>
                <w:color w:val="FFFFFF"/>
              </w:rPr>
              <w:t>June 2, 2026  |  9 am PDT</w:t>
            </w:r>
          </w:p>
        </w:tc>
        <w:tc>
          <w:tcPr>
            <w:tcW w:w="0" w:type="dxa"/>
            <w:vAlign w:val="bottom"/>
          </w:tcPr>
          <w:p>
            <w:pPr>
              <w:spacing w:after="0"/>
              <w:rPr>
                <w:sz w:val="1"/>
                <w:szCs w:val="1"/>
                <w:color w:val="auto"/>
              </w:rPr>
            </w:pPr>
          </w:p>
        </w:tc>
      </w:tr>
      <w:tr>
        <w:trPr>
          <w:trHeight w:val="125"/>
        </w:trPr>
        <w:tc>
          <w:tcPr>
            <w:tcW w:w="3100" w:type="dxa"/>
            <w:vAlign w:val="bottom"/>
            <w:vMerge w:val="restart"/>
          </w:tcPr>
          <w:p>
            <w:pPr>
              <w:spacing w:after="0"/>
              <w:rPr>
                <w:sz w:val="20"/>
                <w:szCs w:val="20"/>
                <w:color w:val="auto"/>
              </w:rPr>
            </w:pPr>
            <w:r>
              <w:rPr>
                <w:rFonts w:ascii="Arial" w:cs="Arial" w:eastAsia="Arial" w:hAnsi="Arial"/>
                <w:sz w:val="15"/>
                <w:szCs w:val="15"/>
                <w:color w:val="FFFFFF"/>
              </w:rPr>
              <w:t>Chairman &amp; CEO | Kodiak</w:t>
            </w:r>
          </w:p>
        </w:tc>
        <w:tc>
          <w:tcPr>
            <w:tcW w:w="3320" w:type="dxa"/>
            <w:vAlign w:val="bottom"/>
            <w:vMerge w:val="restart"/>
          </w:tcPr>
          <w:p>
            <w:pPr>
              <w:ind w:left="200"/>
              <w:spacing w:after="0"/>
              <w:rPr>
                <w:sz w:val="20"/>
                <w:szCs w:val="20"/>
                <w:color w:val="auto"/>
              </w:rPr>
            </w:pPr>
            <w:r>
              <w:rPr>
                <w:rFonts w:ascii="Arial" w:cs="Arial" w:eastAsia="Arial" w:hAnsi="Arial"/>
                <w:sz w:val="15"/>
                <w:szCs w:val="15"/>
                <w:color w:val="FFFFFF"/>
              </w:rPr>
              <w:t>Formerly Chief Drug Development</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100" w:type="dxa"/>
            <w:vAlign w:val="bottom"/>
            <w:vMerge w:val="continue"/>
          </w:tcPr>
          <w:p>
            <w:pPr>
              <w:spacing w:after="0"/>
              <w:rPr>
                <w:sz w:val="6"/>
                <w:szCs w:val="6"/>
                <w:color w:val="auto"/>
              </w:rPr>
            </w:pPr>
          </w:p>
        </w:tc>
        <w:tc>
          <w:tcPr>
            <w:tcW w:w="3320" w:type="dxa"/>
            <w:vAlign w:val="bottom"/>
            <w:vMerge w:val="continue"/>
          </w:tcPr>
          <w:p>
            <w:pPr>
              <w:spacing w:after="0"/>
              <w:rPr>
                <w:sz w:val="6"/>
                <w:szCs w:val="6"/>
                <w:color w:val="auto"/>
              </w:rPr>
            </w:pPr>
          </w:p>
        </w:tc>
        <w:tc>
          <w:tcPr>
            <w:tcW w:w="3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100" w:type="dxa"/>
            <w:vAlign w:val="bottom"/>
            <w:vMerge w:val="restart"/>
          </w:tcPr>
          <w:p>
            <w:pPr>
              <w:spacing w:after="0"/>
              <w:rPr>
                <w:sz w:val="20"/>
                <w:szCs w:val="20"/>
                <w:color w:val="auto"/>
              </w:rPr>
            </w:pPr>
            <w:r>
              <w:rPr>
                <w:rFonts w:ascii="Arial" w:cs="Arial" w:eastAsia="Arial" w:hAnsi="Arial"/>
                <w:sz w:val="16"/>
                <w:szCs w:val="16"/>
                <w:b w:val="1"/>
                <w:bCs w:val="1"/>
                <w:color w:val="2A72AA"/>
              </w:rPr>
              <w:t>Felix J. Baker PhD</w:t>
            </w:r>
          </w:p>
        </w:tc>
        <w:tc>
          <w:tcPr>
            <w:tcW w:w="3320" w:type="dxa"/>
            <w:vAlign w:val="bottom"/>
          </w:tcPr>
          <w:p>
            <w:pPr>
              <w:ind w:left="200"/>
              <w:spacing w:after="0" w:line="182" w:lineRule="exact"/>
              <w:rPr>
                <w:sz w:val="20"/>
                <w:szCs w:val="20"/>
                <w:color w:val="auto"/>
              </w:rPr>
            </w:pPr>
            <w:r>
              <w:rPr>
                <w:rFonts w:ascii="PMingLiU" w:cs="PMingLiU" w:eastAsia="PMingLiU" w:hAnsi="PMingLiU"/>
                <w:sz w:val="15"/>
                <w:szCs w:val="15"/>
                <w:color w:val="FFFFFF"/>
              </w:rPr>
              <w:t></w:t>
            </w:r>
            <w:r>
              <w:rPr>
                <w:rFonts w:ascii="Arial" w:cs="Arial" w:eastAsia="Arial" w:hAnsi="Arial"/>
                <w:sz w:val="15"/>
                <w:szCs w:val="15"/>
                <w:color w:val="FFFFFF"/>
              </w:rPr>
              <w:t>ǔˡƬƺȸ</w:t>
            </w:r>
            <w:r>
              <w:rPr>
                <w:rFonts w:ascii="PMingLiU" w:cs="PMingLiU" w:eastAsia="PMingLiU" w:hAnsi="PMingLiU"/>
                <w:sz w:val="15"/>
                <w:szCs w:val="15"/>
                <w:color w:val="FFFFFF"/>
              </w:rPr>
              <w:t/>
            </w:r>
            <w:r>
              <w:rPr>
                <w:rFonts w:ascii="Arial" w:cs="Arial" w:eastAsia="Arial" w:hAnsi="Arial"/>
                <w:sz w:val="15"/>
                <w:szCs w:val="15"/>
                <w:color w:val="FFFFFF"/>
              </w:rPr>
              <w:t>ۭ</w:t>
            </w:r>
            <w:r>
              <w:rPr>
                <w:rFonts w:ascii="PMingLiU" w:cs="PMingLiU" w:eastAsia="PMingLiU" w:hAnsi="PMingLiU"/>
                <w:sz w:val="15"/>
                <w:szCs w:val="15"/>
                <w:color w:val="FFFFFF"/>
              </w:rPr>
              <w:t/>
            </w:r>
            <w:r>
              <w:rPr>
                <w:rFonts w:ascii="Arial" w:cs="Arial" w:eastAsia="Arial" w:hAnsi="Arial"/>
                <w:sz w:val="15"/>
                <w:szCs w:val="15"/>
                <w:color w:val="FFFFFF"/>
              </w:rPr>
              <w:t>!x</w:t>
            </w:r>
            <w:r>
              <w:rPr>
                <w:rFonts w:ascii="PMingLiU" w:cs="PMingLiU" w:eastAsia="PMingLiU" w:hAnsi="PMingLiU"/>
                <w:sz w:val="15"/>
                <w:szCs w:val="15"/>
                <w:color w:val="FFFFFF"/>
              </w:rPr>
              <w:t></w:t>
            </w:r>
            <w:r>
              <w:rPr>
                <w:rFonts w:ascii="Arial" w:cs="Arial" w:eastAsia="Arial" w:hAnsi="Arial"/>
                <w:sz w:val="15"/>
                <w:szCs w:val="15"/>
                <w:color w:val="FFFFFF"/>
              </w:rPr>
              <w:t>۴</w:t>
            </w:r>
            <w:r>
              <w:rPr>
                <w:rFonts w:ascii="PMingLiU" w:cs="PMingLiU" w:eastAsia="PMingLiU" w:hAnsi="PMingLiU"/>
                <w:sz w:val="15"/>
                <w:szCs w:val="15"/>
                <w:color w:val="FFFFFF"/>
              </w:rPr>
              <w:t/>
            </w:r>
            <w:r>
              <w:rPr>
                <w:rFonts w:ascii="Arial" w:cs="Arial" w:eastAsia="Arial" w:hAnsi="Arial"/>
                <w:sz w:val="15"/>
                <w:szCs w:val="15"/>
                <w:color w:val="FFFFFF"/>
              </w:rPr>
              <w:t>XȇƬɵɎƺ</w:t>
            </w:r>
            <w:r>
              <w:rPr>
                <w:rFonts w:ascii="PMingLiU" w:cs="PMingLiU" w:eastAsia="PMingLiU" w:hAnsi="PMingLiU"/>
                <w:sz w:val="15"/>
                <w:szCs w:val="15"/>
                <w:color w:val="FFFFFF"/>
              </w:rPr>
              <w:t/>
            </w:r>
            <w:r>
              <w:rPr>
                <w:rFonts w:ascii="Arial" w:cs="Arial" w:eastAsia="Arial" w:hAnsi="Arial"/>
                <w:sz w:val="15"/>
                <w:szCs w:val="15"/>
                <w:color w:val="FFFFFF"/>
              </w:rPr>
              <w:t>!ȒȸȵȒȸƏɎǣȒȇ</w:t>
            </w:r>
          </w:p>
        </w:tc>
        <w:tc>
          <w:tcPr>
            <w:tcW w:w="3520" w:type="dxa"/>
            <w:vAlign w:val="bottom"/>
          </w:tcPr>
          <w:p>
            <w:pPr>
              <w:ind w:left="500"/>
              <w:spacing w:after="0"/>
              <w:rPr>
                <w:sz w:val="20"/>
                <w:szCs w:val="20"/>
                <w:color w:val="auto"/>
              </w:rPr>
            </w:pPr>
            <w:r>
              <w:rPr>
                <w:rFonts w:ascii="Arial" w:cs="Arial" w:eastAsia="Arial" w:hAnsi="Arial"/>
                <w:sz w:val="19"/>
                <w:szCs w:val="19"/>
                <w:color w:val="FFFFFF"/>
              </w:rPr>
              <w:t>Virtual meeting. Please visit</w:t>
            </w:r>
          </w:p>
        </w:tc>
        <w:tc>
          <w:tcPr>
            <w:tcW w:w="0" w:type="dxa"/>
            <w:vAlign w:val="bottom"/>
          </w:tcPr>
          <w:p>
            <w:pPr>
              <w:spacing w:after="0"/>
              <w:rPr>
                <w:sz w:val="1"/>
                <w:szCs w:val="1"/>
                <w:color w:val="auto"/>
              </w:rPr>
            </w:pPr>
          </w:p>
        </w:tc>
      </w:tr>
      <w:tr>
        <w:trPr>
          <w:trHeight w:val="131"/>
        </w:trPr>
        <w:tc>
          <w:tcPr>
            <w:tcW w:w="3100" w:type="dxa"/>
            <w:vAlign w:val="bottom"/>
            <w:vMerge w:val="continue"/>
          </w:tcPr>
          <w:p>
            <w:pPr>
              <w:spacing w:after="0"/>
              <w:rPr>
                <w:sz w:val="11"/>
                <w:szCs w:val="11"/>
                <w:color w:val="auto"/>
              </w:rPr>
            </w:pPr>
          </w:p>
        </w:tc>
        <w:tc>
          <w:tcPr>
            <w:tcW w:w="3320" w:type="dxa"/>
            <w:vAlign w:val="bottom"/>
            <w:vMerge w:val="restart"/>
          </w:tcPr>
          <w:p>
            <w:pPr>
              <w:ind w:left="200"/>
              <w:spacing w:after="0"/>
              <w:rPr>
                <w:sz w:val="20"/>
                <w:szCs w:val="20"/>
                <w:color w:val="auto"/>
              </w:rPr>
            </w:pPr>
            <w:r>
              <w:rPr>
                <w:rFonts w:ascii="Arial" w:cs="Arial" w:eastAsia="Arial" w:hAnsi="Arial"/>
                <w:sz w:val="16"/>
                <w:szCs w:val="16"/>
                <w:b w:val="1"/>
                <w:bCs w:val="1"/>
                <w:color w:val="2A72AA"/>
              </w:rPr>
              <w:t>Robert A. Profusek JD</w:t>
            </w:r>
          </w:p>
        </w:tc>
        <w:tc>
          <w:tcPr>
            <w:tcW w:w="3520" w:type="dxa"/>
            <w:vAlign w:val="bottom"/>
            <w:vMerge w:val="restart"/>
          </w:tcPr>
          <w:p>
            <w:pPr>
              <w:ind w:left="500"/>
              <w:spacing w:after="0"/>
              <w:rPr>
                <w:sz w:val="20"/>
                <w:szCs w:val="20"/>
                <w:color w:val="auto"/>
              </w:rPr>
            </w:pPr>
            <w:r>
              <w:rPr>
                <w:rFonts w:ascii="Arial" w:cs="Arial" w:eastAsia="Arial" w:hAnsi="Arial"/>
                <w:sz w:val="19"/>
                <w:szCs w:val="19"/>
                <w:color w:val="FFFFFF"/>
              </w:rPr>
              <w:t>www.proxydocs.com/KOD for</w:t>
            </w:r>
          </w:p>
        </w:tc>
        <w:tc>
          <w:tcPr>
            <w:tcW w:w="0" w:type="dxa"/>
            <w:vAlign w:val="bottom"/>
          </w:tcPr>
          <w:p>
            <w:pPr>
              <w:spacing w:after="0"/>
              <w:rPr>
                <w:sz w:val="1"/>
                <w:szCs w:val="1"/>
                <w:color w:val="auto"/>
              </w:rPr>
            </w:pPr>
          </w:p>
        </w:tc>
      </w:tr>
      <w:tr>
        <w:trPr>
          <w:trHeight w:val="93"/>
        </w:trPr>
        <w:tc>
          <w:tcPr>
            <w:tcW w:w="3100" w:type="dxa"/>
            <w:vAlign w:val="bottom"/>
            <w:vMerge w:val="restart"/>
          </w:tcPr>
          <w:p>
            <w:pPr>
              <w:spacing w:after="0" w:line="164" w:lineRule="exact"/>
              <w:rPr>
                <w:sz w:val="20"/>
                <w:szCs w:val="20"/>
                <w:color w:val="auto"/>
              </w:rPr>
            </w:pPr>
            <w:r>
              <w:rPr>
                <w:rFonts w:ascii="Arial" w:cs="Arial" w:eastAsia="Arial" w:hAnsi="Arial"/>
                <w:sz w:val="15"/>
                <w:szCs w:val="15"/>
                <w:color w:val="FFFFFF"/>
              </w:rPr>
              <w:t>Managing Director |</w:t>
            </w:r>
          </w:p>
        </w:tc>
        <w:tc>
          <w:tcPr>
            <w:tcW w:w="332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100" w:type="dxa"/>
            <w:vAlign w:val="bottom"/>
            <w:vMerge w:val="continue"/>
          </w:tcPr>
          <w:p>
            <w:pPr>
              <w:spacing w:after="0"/>
              <w:rPr>
                <w:sz w:val="6"/>
                <w:szCs w:val="6"/>
                <w:color w:val="auto"/>
              </w:rPr>
            </w:pPr>
          </w:p>
        </w:tc>
        <w:tc>
          <w:tcPr>
            <w:tcW w:w="3320" w:type="dxa"/>
            <w:vAlign w:val="bottom"/>
            <w:vMerge w:val="continue"/>
          </w:tcPr>
          <w:p>
            <w:pPr>
              <w:spacing w:after="0"/>
              <w:rPr>
                <w:sz w:val="6"/>
                <w:szCs w:val="6"/>
                <w:color w:val="auto"/>
              </w:rPr>
            </w:pPr>
          </w:p>
        </w:tc>
        <w:tc>
          <w:tcPr>
            <w:tcW w:w="3520" w:type="dxa"/>
            <w:vAlign w:val="bottom"/>
            <w:vMerge w:val="restart"/>
          </w:tcPr>
          <w:p>
            <w:pPr>
              <w:ind w:left="500"/>
              <w:spacing w:after="0"/>
              <w:rPr>
                <w:sz w:val="20"/>
                <w:szCs w:val="20"/>
                <w:color w:val="auto"/>
              </w:rPr>
            </w:pPr>
            <w:r>
              <w:rPr>
                <w:rFonts w:ascii="Arial" w:cs="Arial" w:eastAsia="Arial" w:hAnsi="Arial"/>
                <w:sz w:val="19"/>
                <w:szCs w:val="19"/>
                <w:color w:val="FFFFFF"/>
              </w:rPr>
              <w:t>more details.</w:t>
            </w:r>
          </w:p>
        </w:tc>
        <w:tc>
          <w:tcPr>
            <w:tcW w:w="0" w:type="dxa"/>
            <w:vAlign w:val="bottom"/>
          </w:tcPr>
          <w:p>
            <w:pPr>
              <w:spacing w:after="0"/>
              <w:rPr>
                <w:sz w:val="1"/>
                <w:szCs w:val="1"/>
                <w:color w:val="auto"/>
              </w:rPr>
            </w:pPr>
          </w:p>
        </w:tc>
      </w:tr>
      <w:tr>
        <w:trPr>
          <w:trHeight w:val="169"/>
        </w:trPr>
        <w:tc>
          <w:tcPr>
            <w:tcW w:w="3100" w:type="dxa"/>
            <w:vAlign w:val="bottom"/>
            <w:vMerge w:val="restart"/>
          </w:tcPr>
          <w:p>
            <w:pPr>
              <w:spacing w:after="0"/>
              <w:rPr>
                <w:sz w:val="20"/>
                <w:szCs w:val="20"/>
                <w:color w:val="auto"/>
              </w:rPr>
            </w:pPr>
            <w:r>
              <w:rPr>
                <w:rFonts w:ascii="Arial" w:cs="Arial" w:eastAsia="Arial" w:hAnsi="Arial"/>
                <w:sz w:val="15"/>
                <w:szCs w:val="15"/>
                <w:color w:val="FFFFFF"/>
              </w:rPr>
              <w:t>Baker Brothers Investments</w:t>
            </w:r>
          </w:p>
        </w:tc>
        <w:tc>
          <w:tcPr>
            <w:tcW w:w="3320" w:type="dxa"/>
            <w:vAlign w:val="bottom"/>
            <w:vMerge w:val="restart"/>
          </w:tcPr>
          <w:p>
            <w:pPr>
              <w:ind w:left="200"/>
              <w:spacing w:after="0"/>
              <w:rPr>
                <w:sz w:val="20"/>
                <w:szCs w:val="20"/>
                <w:color w:val="auto"/>
              </w:rPr>
            </w:pPr>
            <w:r>
              <w:rPr>
                <w:rFonts w:ascii="Arial" w:cs="Arial" w:eastAsia="Arial" w:hAnsi="Arial"/>
                <w:sz w:val="15"/>
                <w:szCs w:val="15"/>
                <w:color w:val="FFFFFF"/>
              </w:rPr>
              <w:t>Partner &amp; Global Chair M&amp;A | Jones Day</w:t>
            </w:r>
          </w:p>
        </w:tc>
        <w:tc>
          <w:tcPr>
            <w:tcW w:w="3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3100" w:type="dxa"/>
            <w:vAlign w:val="bottom"/>
            <w:vMerge w:val="continue"/>
          </w:tcPr>
          <w:p>
            <w:pPr>
              <w:spacing w:after="0"/>
              <w:rPr>
                <w:sz w:val="5"/>
                <w:szCs w:val="5"/>
                <w:color w:val="auto"/>
              </w:rPr>
            </w:pPr>
          </w:p>
        </w:tc>
        <w:tc>
          <w:tcPr>
            <w:tcW w:w="3320" w:type="dxa"/>
            <w:vAlign w:val="bottom"/>
            <w:vMerge w:val="continue"/>
          </w:tcPr>
          <w:p>
            <w:pPr>
              <w:spacing w:after="0"/>
              <w:rPr>
                <w:sz w:val="5"/>
                <w:szCs w:val="5"/>
                <w:color w:val="auto"/>
              </w:rPr>
            </w:pPr>
          </w:p>
        </w:tc>
        <w:tc>
          <w:tcPr>
            <w:tcW w:w="3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900"/>
          </w:cols>
          <w:pgMar w:left="880" w:top="619" w:right="460" w:bottom="0" w:gutter="0" w:footer="0" w:header="0"/>
          <w:type w:val="continuous"/>
        </w:sectPr>
      </w:pPr>
    </w:p>
    <w:p>
      <w:pPr>
        <w:spacing w:after="0" w:line="83" w:lineRule="exact"/>
        <w:rPr>
          <w:sz w:val="20"/>
          <w:szCs w:val="20"/>
          <w:color w:val="auto"/>
        </w:rPr>
      </w:pPr>
    </w:p>
    <w:p>
      <w:pPr>
        <w:ind w:left="8700"/>
        <w:spacing w:after="0"/>
        <w:rPr>
          <w:sz w:val="20"/>
          <w:szCs w:val="20"/>
          <w:color w:val="auto"/>
        </w:rPr>
      </w:pPr>
      <w:r>
        <w:rPr>
          <w:rFonts w:ascii="Arial" w:cs="Arial" w:eastAsia="Arial" w:hAnsi="Arial"/>
          <w:sz w:val="16"/>
          <w:szCs w:val="16"/>
          <w:color w:val="FFFFFF"/>
        </w:rPr>
        <w:t>KODIAK SCIENCES INC.</w:t>
      </w:r>
    </w:p>
    <w:p>
      <w:pPr>
        <w:sectPr>
          <w:pgSz w:w="12240" w:h="15840" w:orient="portrait"/>
          <w:cols w:equalWidth="0" w:num="1">
            <w:col w:w="10900"/>
          </w:cols>
          <w:pgMar w:left="880" w:top="619" w:right="460" w:bottom="0" w:gutter="0" w:footer="0" w:header="0"/>
          <w:type w:val="continuous"/>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40"/>
        <w:spacing w:after="0"/>
        <w:rPr>
          <w:sz w:val="20"/>
          <w:szCs w:val="20"/>
          <w:color w:val="auto"/>
        </w:rPr>
      </w:pPr>
      <w:r>
        <w:rPr>
          <w:rFonts w:ascii="Arial" w:cs="Arial" w:eastAsia="Arial" w:hAnsi="Arial"/>
          <w:sz w:val="24"/>
          <w:szCs w:val="24"/>
          <w:b w:val="1"/>
          <w:bCs w:val="1"/>
          <w:color w:val="FFFFFF"/>
        </w:rPr>
        <w:t>KODIAK SCIENCES INC.</w:t>
      </w:r>
    </w:p>
    <w:p>
      <w:pPr>
        <w:spacing w:after="0" w:line="34" w:lineRule="exact"/>
        <w:rPr>
          <w:sz w:val="20"/>
          <w:szCs w:val="20"/>
          <w:color w:val="auto"/>
        </w:rPr>
      </w:pPr>
    </w:p>
    <w:p>
      <w:pPr>
        <w:ind w:left="3300"/>
        <w:spacing w:after="0"/>
        <w:rPr>
          <w:sz w:val="20"/>
          <w:szCs w:val="20"/>
          <w:color w:val="auto"/>
        </w:rPr>
      </w:pPr>
      <w:r>
        <w:rPr>
          <w:rFonts w:ascii="Arial" w:cs="Arial" w:eastAsia="Arial" w:hAnsi="Arial"/>
          <w:sz w:val="24"/>
          <w:szCs w:val="24"/>
          <w:b w:val="1"/>
          <w:bCs w:val="1"/>
          <w:color w:val="FFFFFF"/>
        </w:rPr>
        <w:t>1250 PAGE MILL ROAD</w:t>
      </w:r>
    </w:p>
    <w:p>
      <w:pPr>
        <w:spacing w:after="0" w:line="12" w:lineRule="exact"/>
        <w:rPr>
          <w:sz w:val="20"/>
          <w:szCs w:val="20"/>
          <w:color w:val="auto"/>
        </w:rPr>
      </w:pPr>
    </w:p>
    <w:p>
      <w:pPr>
        <w:ind w:left="3320"/>
        <w:spacing w:after="0"/>
        <w:rPr>
          <w:sz w:val="20"/>
          <w:szCs w:val="20"/>
          <w:color w:val="auto"/>
        </w:rPr>
      </w:pPr>
      <w:r>
        <w:rPr>
          <w:rFonts w:ascii="Arial" w:cs="Arial" w:eastAsia="Arial" w:hAnsi="Arial"/>
          <w:sz w:val="24"/>
          <w:szCs w:val="24"/>
          <w:b w:val="1"/>
          <w:bCs w:val="1"/>
          <w:color w:val="FFFFFF"/>
        </w:rPr>
        <w:t>PALO ALTO, CA 94304</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A72AA"/>
        </w:rPr>
        <w:t>WWW.KODIAK.COM</w:t>
      </w:r>
    </w:p>
    <w:p>
      <w:pPr>
        <w:spacing w:after="0" w:line="300" w:lineRule="exact"/>
        <w:rPr>
          <w:sz w:val="20"/>
          <w:szCs w:val="20"/>
          <w:color w:val="auto"/>
        </w:rPr>
      </w:pPr>
    </w:p>
    <w:p>
      <w:pPr>
        <w:ind w:left="3780"/>
        <w:spacing w:after="0"/>
        <w:rPr>
          <w:sz w:val="20"/>
          <w:szCs w:val="20"/>
          <w:color w:val="auto"/>
        </w:rPr>
      </w:pPr>
      <w:r>
        <w:rPr>
          <w:rFonts w:ascii="Arial" w:cs="Arial" w:eastAsia="Arial" w:hAnsi="Arial"/>
          <w:sz w:val="24"/>
          <w:szCs w:val="24"/>
          <w:b w:val="1"/>
          <w:bCs w:val="1"/>
          <w:color w:val="FFFFFF"/>
        </w:rPr>
        <w:t>NASDAQ: KOD</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2"/>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շ"/>
      <w:numFmt w:val="bullet"/>
      <w:start w:val="1"/>
    </w:lvl>
  </w:abstractNum>
  <w:abstractNum w:abstractNumId="1">
    <w:nsid w:val="8138641"/>
    <w:multiLevelType w:val="hybridMultilevel"/>
    <w:lvl w:ilvl="0">
      <w:lvlJc w:val="left"/>
      <w:lvlText w:val="ն"/>
      <w:numFmt w:val="bullet"/>
      <w:start w:val="1"/>
    </w:lvl>
  </w:abstractNum>
  <w:abstractNum w:abstractNumId="2">
    <w:nsid w:val="1E7FF521"/>
    <w:multiLevelType w:val="hybridMultilevel"/>
    <w:lvl w:ilvl="0">
      <w:lvlJc w:val="left"/>
      <w:lvlText w:val="%1"/>
      <w:numFmt w:val="upperLetter"/>
      <w:start w:val="6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4"/>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start w:val="2"/>
    </w:lvl>
  </w:abstractNum>
  <w:abstractNum w:abstractNumId="54">
    <w:nsid w:val="39386575"/>
    <w:multiLevelType w:val="hybridMultilevel"/>
    <w:lvl w:ilvl="0">
      <w:lvlJc w:val="left"/>
      <w:lvlText w:val="%1."/>
      <w:numFmt w:val="decimal"/>
      <w:start w:val="8"/>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2026-04-23T05:03:52Z</dcterms:created>
  <dcterms:modified xsi:type="dcterms:W3CDTF">2026-04-23T05:03:52Z</dcterms:modified>
</cp:coreProperties>
</file>