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od-20260630.htm"/>
      <w:bookmarkStart w:id="1" w:name="kskod20260630"/>
      <w:bookmarkEnd w:id="0"/>
      <w:bookmarkEnd w:id="1"/>
      <w:r>
        <w:rPr/>
        <w:t> </w:t>
      </w:r>
    </w:p>
    <w:p>
      <w:pPr>
        <w:pStyle w:val="TextBody"/>
        <w:bidi w:val="0"/>
        <w:spacing w:before="40" w:after="283"/>
        <w:jc w:val="center"/>
        <w:rPr>
          <w:rFonts w:ascii="Montserrat;sans-serif" w:hAnsi="Montserrat;sans-serif"/>
          <w:b/>
          <w:color w:val="000000"/>
          <w:sz w:val="29"/>
        </w:rPr>
      </w:pPr>
      <w:r>
        <w:rPr>
          <w:rFonts w:ascii="Montserrat;sans-serif" w:hAnsi="Montserrat;sans-serif"/>
          <w:b/>
          <w:color w:val="000000"/>
          <w:sz w:val="29"/>
        </w:rPr>
        <w:t>UNITED STATES</w:t>
      </w:r>
    </w:p>
    <w:p>
      <w:pPr>
        <w:pStyle w:val="TextBody"/>
        <w:bidi w:val="0"/>
        <w:jc w:val="center"/>
        <w:rPr>
          <w:rFonts w:ascii="Montserrat;sans-serif" w:hAnsi="Montserrat;sans-serif"/>
          <w:b/>
          <w:color w:val="000000"/>
          <w:sz w:val="29"/>
        </w:rPr>
      </w:pPr>
      <w:r>
        <w:rPr>
          <w:rFonts w:ascii="Montserrat;sans-serif" w:hAnsi="Montserrat;sans-serif"/>
          <w:b/>
          <w:color w:val="000000"/>
          <w:sz w:val="29"/>
        </w:rPr>
        <w:t>SECURITIES AND EXCHANGE COMMISSION</w:t>
      </w:r>
    </w:p>
    <w:p>
      <w:pPr>
        <w:pStyle w:val="TextBody"/>
        <w:bidi w:val="0"/>
        <w:jc w:val="center"/>
        <w:rPr>
          <w:rFonts w:ascii="Montserrat;sans-serif" w:hAnsi="Montserrat;sans-serif"/>
          <w:b/>
          <w:color w:val="000000"/>
          <w:sz w:val="22"/>
        </w:rPr>
      </w:pPr>
      <w:r>
        <w:rPr>
          <w:rFonts w:ascii="Montserrat;sans-serif" w:hAnsi="Montserrat;sans-serif"/>
          <w:b/>
          <w:color w:val="000000"/>
          <w:sz w:val="22"/>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Montserrat;sans-serif" w:hAnsi="Montserrat;sans-serif"/>
          <w:b/>
          <w:color w:val="000000"/>
          <w:sz w:val="38"/>
        </w:rPr>
      </w:pPr>
      <w:r>
        <w:rPr>
          <w:rFonts w:ascii="Montserrat;sans-serif" w:hAnsi="Montserrat;sans-serif"/>
          <w:b/>
          <w:color w:val="000000"/>
          <w:sz w:val="38"/>
        </w:rPr>
        <w:t>FORM 10-Q</w:t>
      </w:r>
    </w:p>
    <w:p>
      <w:pPr>
        <w:pStyle w:val="TextBody"/>
        <w:pBdr>
          <w:bottom w:val="single" w:sz="4" w:space="1" w:color="000000"/>
        </w:pBdr>
        <w:bidi w:val="0"/>
        <w:jc w:val="center"/>
        <w:rPr/>
      </w:pPr>
      <w:r>
        <w:rPr/>
        <w:t> </w:t>
      </w:r>
    </w:p>
    <w:p>
      <w:pPr>
        <w:pStyle w:val="TextBody"/>
        <w:bidi w:val="0"/>
        <w:jc w:val="left"/>
        <w:rPr>
          <w:rFonts w:ascii="Montserrat;sans-serif" w:hAnsi="Montserrat;sans-serif"/>
          <w:color w:val="000000"/>
          <w:sz w:val="16"/>
        </w:rPr>
      </w:pPr>
      <w:r>
        <w:rPr>
          <w:rFonts w:ascii="Montserrat;sans-serif" w:hAnsi="Montserrat;sans-serif"/>
          <w:color w:val="000000"/>
          <w:sz w:val="16"/>
        </w:rPr>
        <w:t>(Mark One)</w:t>
      </w:r>
    </w:p>
    <w:p>
      <w:pPr>
        <w:pStyle w:val="TextBody"/>
        <w:bidi w:val="0"/>
        <w:jc w:val="left"/>
        <w:rPr/>
      </w:pPr>
      <w:r>
        <w:rPr>
          <w:color w:val="000000"/>
        </w:rPr>
        <w:t xml:space="preserve">☒ </w:t>
      </w:r>
      <w:r>
        <w:rPr>
          <w:rFonts w:ascii="Montserrat;sans-serif" w:hAnsi="Montserrat;sans-serif"/>
          <w:b/>
          <w:color w:val="000000"/>
          <w:sz w:val="20"/>
        </w:rPr>
        <w:t>QUARTERLY REPORT PURSUANT TO SECTION 13 OR 15(d) OF THE SECURITIES EXCHANGE ACT OF 1934</w:t>
      </w:r>
    </w:p>
    <w:p>
      <w:pPr>
        <w:pStyle w:val="TextBody"/>
        <w:bidi w:val="0"/>
        <w:spacing w:before="40" w:after="283"/>
        <w:jc w:val="center"/>
        <w:rPr>
          <w:rFonts w:ascii="Montserrat;sans-serif" w:hAnsi="Montserrat;sans-serif"/>
          <w:color w:val="000000"/>
          <w:sz w:val="20"/>
        </w:rPr>
      </w:pPr>
      <w:r>
        <w:rPr>
          <w:rFonts w:ascii="Montserrat;sans-serif" w:hAnsi="Montserrat;sans-serif"/>
          <w:color w:val="000000"/>
          <w:sz w:val="20"/>
        </w:rPr>
        <w:t>For the quarterly period ended June 30, 2026</w:t>
      </w:r>
    </w:p>
    <w:p>
      <w:pPr>
        <w:pStyle w:val="TextBody"/>
        <w:bidi w:val="0"/>
        <w:spacing w:before="40" w:after="283"/>
        <w:jc w:val="center"/>
        <w:rPr>
          <w:rFonts w:ascii="Montserrat;sans-serif" w:hAnsi="Montserrat;sans-serif"/>
          <w:color w:val="000000"/>
          <w:sz w:val="20"/>
        </w:rPr>
      </w:pPr>
      <w:r>
        <w:rPr>
          <w:rFonts w:ascii="Montserrat;sans-serif" w:hAnsi="Montserrat;sans-serif"/>
          <w:color w:val="000000"/>
          <w:sz w:val="20"/>
        </w:rPr>
        <w:t>or</w:t>
      </w:r>
    </w:p>
    <w:p>
      <w:pPr>
        <w:pStyle w:val="TextBody"/>
        <w:bidi w:val="0"/>
        <w:spacing w:before="40" w:after="283"/>
        <w:jc w:val="left"/>
        <w:rPr/>
      </w:pPr>
      <w:r>
        <w:rPr>
          <w:color w:val="000000"/>
        </w:rPr>
        <w:t xml:space="preserve">☐ </w:t>
      </w:r>
      <w:r>
        <w:rPr>
          <w:rFonts w:ascii="Montserrat;sans-serif" w:hAnsi="Montserrat;sans-serif"/>
          <w:b/>
          <w:color w:val="000000"/>
          <w:sz w:val="20"/>
        </w:rPr>
        <w:t>TRANSITION REPORT PURSUANT TO SECTION 13 OR 15(d) OF THE SECURITIES EXCHANGE ACT OF 1934</w:t>
      </w:r>
    </w:p>
    <w:p>
      <w:pPr>
        <w:pStyle w:val="TextBody"/>
        <w:bidi w:val="0"/>
        <w:spacing w:before="40" w:after="283"/>
        <w:jc w:val="center"/>
        <w:rPr>
          <w:rFonts w:ascii="Montserrat;sans-serif" w:hAnsi="Montserrat;sans-serif"/>
          <w:color w:val="000000"/>
          <w:sz w:val="20"/>
        </w:rPr>
      </w:pPr>
      <w:r>
        <w:rPr>
          <w:rFonts w:ascii="Montserrat;sans-serif" w:hAnsi="Montserrat;sans-serif"/>
          <w:color w:val="000000"/>
          <w:sz w:val="20"/>
        </w:rPr>
        <w:t>For the transition period from __________ to _________</w:t>
      </w:r>
    </w:p>
    <w:p>
      <w:pPr>
        <w:pStyle w:val="TextBody"/>
        <w:bidi w:val="0"/>
        <w:spacing w:before="80" w:after="283"/>
        <w:jc w:val="center"/>
        <w:rPr>
          <w:rFonts w:ascii="Times New Roman" w:hAnsi="Times New Roman"/>
          <w:sz w:val="20"/>
        </w:rPr>
      </w:pPr>
      <w:r>
        <w:rPr>
          <w:rFonts w:ascii="Montserrat;sans-serif" w:hAnsi="Montserrat;sans-serif"/>
          <w:color w:val="000000"/>
          <w:sz w:val="20"/>
        </w:rPr>
        <w:t>Commission File Number:</w:t>
      </w:r>
      <w:r>
        <w:rPr>
          <w:rFonts w:ascii="Times New Roman" w:hAnsi="Times New Roman"/>
          <w:color w:val="000000"/>
          <w:sz w:val="20"/>
        </w:rPr>
        <w:t xml:space="preserve"> </w:t>
      </w:r>
      <w:r>
        <w:rPr>
          <w:rFonts w:ascii="Montserrat;sans-serif" w:hAnsi="Montserrat;sans-serif"/>
          <w:b/>
          <w:color w:val="000000"/>
          <w:sz w:val="20"/>
        </w:rPr>
        <w:t>001-38682</w:t>
      </w:r>
    </w:p>
    <w:p>
      <w:pPr>
        <w:pStyle w:val="TextBody"/>
        <w:pBdr>
          <w:bottom w:val="single" w:sz="4" w:space="1" w:color="000000"/>
        </w:pBdr>
        <w:bidi w:val="0"/>
        <w:jc w:val="center"/>
        <w:rPr/>
      </w:pPr>
      <w:r>
        <w:rPr/>
        <w:t> </w:t>
      </w:r>
    </w:p>
    <w:p>
      <w:pPr>
        <w:pStyle w:val="TextBody"/>
        <w:bidi w:val="0"/>
        <w:spacing w:before="60" w:after="283"/>
        <w:jc w:val="center"/>
        <w:rPr/>
      </w:pPr>
      <w:r>
        <w:rPr/>
        <w:t> </w:t>
      </w:r>
    </w:p>
    <w:p>
      <w:pPr>
        <w:pStyle w:val="TextBody"/>
        <w:bidi w:val="0"/>
        <w:jc w:val="center"/>
        <w:rPr/>
      </w:pPr>
      <w:r>
        <w:rPr/>
        <w:drawing>
          <wp:inline distT="0" distB="0" distL="0" distR="0">
            <wp:extent cx="1647825"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7825" cy="257175"/>
                    </a:xfrm>
                    <a:prstGeom prst="rect">
                      <a:avLst/>
                    </a:prstGeom>
                  </pic:spPr>
                </pic:pic>
              </a:graphicData>
            </a:graphic>
          </wp:inline>
        </w:drawing>
      </w:r>
    </w:p>
    <w:p>
      <w:pPr>
        <w:pStyle w:val="TextBody"/>
        <w:bidi w:val="0"/>
        <w:spacing w:before="60" w:after="283"/>
        <w:jc w:val="center"/>
        <w:rPr>
          <w:rFonts w:ascii="Montserrat;sans-serif" w:hAnsi="Montserrat;sans-serif"/>
          <w:b/>
          <w:color w:val="000000"/>
          <w:sz w:val="52"/>
        </w:rPr>
      </w:pPr>
      <w:r>
        <w:rPr>
          <w:rFonts w:ascii="Montserrat;sans-serif" w:hAnsi="Montserrat;sans-serif"/>
          <w:b/>
          <w:color w:val="000000"/>
          <w:sz w:val="52"/>
        </w:rPr>
        <w:t>KODIAK SCIENCES INC.</w:t>
      </w:r>
    </w:p>
    <w:p>
      <w:pPr>
        <w:pStyle w:val="TextBody"/>
        <w:bidi w:val="0"/>
        <w:jc w:val="center"/>
        <w:rPr>
          <w:rFonts w:ascii="Montserrat;sans-serif" w:hAnsi="Montserrat;sans-serif"/>
          <w:color w:val="000000"/>
          <w:sz w:val="17"/>
        </w:rPr>
      </w:pPr>
      <w:r>
        <w:rPr>
          <w:rFonts w:ascii="Montserrat;sans-serif" w:hAnsi="Montserrat;sans-serif"/>
          <w:color w:val="000000"/>
          <w:sz w:val="17"/>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982" w:type="dxa"/>
        <w:jc w:val="left"/>
        <w:tblInd w:w="0" w:type="dxa"/>
        <w:tblLayout w:type="fixed"/>
        <w:tblCellMar>
          <w:top w:w="28" w:type="dxa"/>
          <w:left w:w="28" w:type="dxa"/>
          <w:bottom w:w="28" w:type="dxa"/>
          <w:right w:w="28" w:type="dxa"/>
        </w:tblCellMar>
      </w:tblPr>
      <w:tblGrid>
        <w:gridCol w:w="3376"/>
        <w:gridCol w:w="1606"/>
      </w:tblGrid>
      <w:tr>
        <w:trPr/>
        <w:tc>
          <w:tcPr>
            <w:tcW w:w="337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9"/>
              </w:rPr>
            </w:pPr>
            <w:r>
              <w:rPr>
                <w:rFonts w:ascii="Montserrat;sans-serif" w:hAnsi="Montserrat;sans-serif"/>
                <w:b/>
                <w:color w:val="000000"/>
                <w:sz w:val="19"/>
              </w:rPr>
              <w:t>Delaware</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9"/>
              </w:rPr>
            </w:pPr>
            <w:r>
              <w:rPr>
                <w:rFonts w:ascii="Montserrat;sans-serif" w:hAnsi="Montserrat;sans-serif"/>
                <w:b/>
                <w:color w:val="000000"/>
                <w:sz w:val="19"/>
              </w:rPr>
              <w:t>27-0476525</w:t>
            </w:r>
          </w:p>
        </w:tc>
      </w:tr>
      <w:tr>
        <w:trPr/>
        <w:tc>
          <w:tcPr>
            <w:tcW w:w="3376" w:type="dxa"/>
            <w:tcBorders/>
            <w:tcMar>
              <w:top w:w="0" w:type="dxa"/>
              <w:left w:w="0" w:type="dxa"/>
              <w:bottom w:w="0" w:type="dxa"/>
              <w:right w:w="0" w:type="dxa"/>
            </w:tcMar>
            <w:vAlign w:val="center"/>
          </w:tcPr>
          <w:p>
            <w:pPr>
              <w:pStyle w:val="TableContents"/>
              <w:bidi w:val="0"/>
              <w:jc w:val="center"/>
              <w:rPr>
                <w:rFonts w:ascii="Montserrat;sans-serif" w:hAnsi="Montserrat;sans-serif"/>
                <w:color w:val="000000"/>
                <w:sz w:val="16"/>
              </w:rPr>
            </w:pPr>
            <w:r>
              <w:rPr>
                <w:rFonts w:ascii="Montserrat;sans-serif" w:hAnsi="Montserrat;sans-serif"/>
                <w:color w:val="000000"/>
                <w:sz w:val="16"/>
              </w:rPr>
              <w:t>(State or other jurisdiction of</w:t>
            </w:r>
          </w:p>
          <w:p>
            <w:pPr>
              <w:pStyle w:val="TableContents"/>
              <w:bidi w:val="0"/>
              <w:spacing w:before="0" w:after="15"/>
              <w:jc w:val="center"/>
              <w:rPr>
                <w:rFonts w:ascii="Montserrat;sans-serif" w:hAnsi="Montserrat;sans-serif"/>
                <w:color w:val="000000"/>
                <w:sz w:val="16"/>
              </w:rPr>
            </w:pPr>
            <w:r>
              <w:rPr>
                <w:rFonts w:ascii="Montserrat;sans-serif" w:hAnsi="Montserrat;sans-serif"/>
                <w:color w:val="000000"/>
                <w:sz w:val="16"/>
              </w:rPr>
              <w:t>incorporation or organization)</w:t>
            </w:r>
          </w:p>
        </w:tc>
        <w:tc>
          <w:tcPr>
            <w:tcW w:w="1606" w:type="dxa"/>
            <w:tcBorders/>
            <w:tcMar>
              <w:top w:w="0" w:type="dxa"/>
              <w:left w:w="0" w:type="dxa"/>
              <w:bottom w:w="0" w:type="dxa"/>
              <w:right w:w="0" w:type="dxa"/>
            </w:tcMar>
            <w:vAlign w:val="center"/>
          </w:tcPr>
          <w:p>
            <w:pPr>
              <w:pStyle w:val="TableContents"/>
              <w:bidi w:val="0"/>
              <w:jc w:val="center"/>
              <w:rPr>
                <w:rFonts w:ascii="Montserrat;sans-serif" w:hAnsi="Montserrat;sans-serif"/>
                <w:color w:val="000000"/>
                <w:sz w:val="16"/>
              </w:rPr>
            </w:pPr>
            <w:r>
              <w:rPr>
                <w:rFonts w:ascii="Montserrat;sans-serif" w:hAnsi="Montserrat;sans-serif"/>
                <w:color w:val="000000"/>
                <w:sz w:val="16"/>
              </w:rPr>
              <w:t>(I.R.S. Employer</w:t>
            </w:r>
          </w:p>
          <w:p>
            <w:pPr>
              <w:pStyle w:val="TableContents"/>
              <w:bidi w:val="0"/>
              <w:spacing w:before="0" w:after="283"/>
              <w:jc w:val="center"/>
              <w:rPr>
                <w:rFonts w:ascii="Montserrat;sans-serif" w:hAnsi="Montserrat;sans-serif"/>
                <w:color w:val="000000"/>
                <w:sz w:val="16"/>
              </w:rPr>
            </w:pPr>
            <w:r>
              <w:rPr>
                <w:rFonts w:ascii="Montserrat;sans-serif" w:hAnsi="Montserrat;sans-serif"/>
                <w:color w:val="000000"/>
                <w:sz w:val="16"/>
              </w:rPr>
              <w:t>Identification No.)</w:t>
            </w:r>
          </w:p>
        </w:tc>
      </w:tr>
      <w:tr>
        <w:trPr/>
        <w:tc>
          <w:tcPr>
            <w:tcW w:w="3376" w:type="dxa"/>
            <w:tcBorders/>
            <w:tcMar>
              <w:top w:w="0" w:type="dxa"/>
              <w:left w:w="0" w:type="dxa"/>
              <w:bottom w:w="0" w:type="dxa"/>
              <w:right w:w="0" w:type="dxa"/>
            </w:tcMar>
            <w:vAlign w:val="center"/>
          </w:tcPr>
          <w:p>
            <w:pPr>
              <w:pStyle w:val="TableContents"/>
              <w:bidi w:val="0"/>
              <w:spacing w:before="40" w:after="283"/>
              <w:jc w:val="center"/>
              <w:rPr>
                <w:rFonts w:ascii="Montserrat;sans-serif" w:hAnsi="Montserrat;sans-serif"/>
                <w:b/>
                <w:color w:val="000000"/>
                <w:sz w:val="19"/>
              </w:rPr>
            </w:pPr>
            <w:r>
              <w:rPr>
                <w:rFonts w:ascii="Montserrat;sans-serif" w:hAnsi="Montserrat;sans-serif"/>
                <w:b/>
                <w:color w:val="000000"/>
                <w:sz w:val="19"/>
              </w:rPr>
              <w:t>1250 Page Mill Road</w:t>
            </w:r>
          </w:p>
          <w:p>
            <w:pPr>
              <w:pStyle w:val="TableContents"/>
              <w:bidi w:val="0"/>
              <w:spacing w:before="0" w:after="283"/>
              <w:jc w:val="center"/>
              <w:rPr>
                <w:rFonts w:ascii="Montserrat;sans-serif" w:hAnsi="Montserrat;sans-serif"/>
                <w:b/>
                <w:color w:val="000000"/>
                <w:sz w:val="19"/>
              </w:rPr>
            </w:pPr>
            <w:r>
              <w:rPr>
                <w:rFonts w:ascii="Montserrat;sans-serif" w:hAnsi="Montserrat;sans-serif"/>
                <w:b/>
                <w:color w:val="000000"/>
                <w:sz w:val="19"/>
              </w:rPr>
              <w:t>Palo Alto, CA</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9"/>
              </w:rPr>
            </w:pPr>
            <w:r>
              <w:rPr>
                <w:rFonts w:ascii="Montserrat;sans-serif" w:hAnsi="Montserrat;sans-serif"/>
                <w:b/>
                <w:color w:val="000000"/>
                <w:sz w:val="19"/>
              </w:rPr>
              <w:t>94304</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6"/>
              </w:rPr>
            </w:pPr>
            <w:r>
              <w:rPr>
                <w:rFonts w:ascii="Montserrat;sans-serif" w:hAnsi="Montserrat;sans-serif"/>
                <w:color w:val="000000"/>
                <w:sz w:val="16"/>
              </w:rPr>
              <w:t>(Address of principal executive offices)</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6"/>
              </w:rPr>
            </w:pPr>
            <w:r>
              <w:rPr>
                <w:rFonts w:ascii="Montserrat;sans-serif" w:hAnsi="Montserrat;sans-serif"/>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Montserrat;sans-serif" w:hAnsi="Montserrat;sans-serif"/>
          <w:color w:val="000000"/>
          <w:sz w:val="19"/>
        </w:rPr>
        <w:t>Registrant’s telephone number, including area code:</w:t>
      </w:r>
      <w:r>
        <w:rPr>
          <w:rFonts w:ascii="Times New Roman" w:hAnsi="Times New Roman"/>
          <w:color w:val="000000"/>
          <w:sz w:val="20"/>
        </w:rPr>
        <w:t xml:space="preserve"> </w:t>
      </w:r>
      <w:r>
        <w:rPr>
          <w:rFonts w:ascii="Montserrat;sans-serif" w:hAnsi="Montserrat;sans-serif"/>
          <w:b/>
          <w:color w:val="000000"/>
          <w:sz w:val="19"/>
        </w:rPr>
        <w:t>(650) 281-0850</w:t>
      </w:r>
    </w:p>
    <w:p>
      <w:pPr>
        <w:pStyle w:val="TextBody"/>
        <w:pBdr>
          <w:bottom w:val="single" w:sz="4" w:space="1" w:color="000000"/>
        </w:pBdr>
        <w:bidi w:val="0"/>
        <w:jc w:val="center"/>
        <w:rPr/>
      </w:pPr>
      <w:r>
        <w:rPr/>
        <w:t> </w:t>
      </w:r>
    </w:p>
    <w:p>
      <w:pPr>
        <w:pStyle w:val="TextBody"/>
        <w:bidi w:val="0"/>
        <w:spacing w:before="60" w:after="283"/>
        <w:jc w:val="left"/>
        <w:rPr>
          <w:rFonts w:ascii="Montserrat;sans-serif" w:hAnsi="Montserrat;sans-serif"/>
          <w:color w:val="000000"/>
          <w:sz w:val="17"/>
        </w:rPr>
      </w:pPr>
      <w:r>
        <w:rPr>
          <w:rFonts w:ascii="Montserrat;sans-serif" w:hAnsi="Montserrat;sans-serif"/>
          <w:color w:val="000000"/>
          <w:sz w:val="17"/>
        </w:rPr>
        <w:t>Securities registered pursuant to Section 12(b) of the Act:</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3316"/>
        <w:gridCol w:w="1636"/>
        <w:gridCol w:w="3871"/>
      </w:tblGrid>
      <w:tr>
        <w:trPr/>
        <w:tc>
          <w:tcPr>
            <w:tcW w:w="331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331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40" w:after="283"/>
              <w:jc w:val="center"/>
              <w:rPr>
                <w:rFonts w:ascii="Montserrat;sans-serif" w:hAnsi="Montserrat;sans-serif"/>
                <w:color w:val="000000"/>
                <w:sz w:val="17"/>
              </w:rPr>
            </w:pPr>
            <w:r>
              <w:rPr>
                <w:rFonts w:ascii="Montserrat;sans-serif" w:hAnsi="Montserrat;sans-serif"/>
                <w:color w:val="000000"/>
                <w:sz w:val="17"/>
              </w:rPr>
              <w:t>Title of each class</w:t>
            </w:r>
          </w:p>
        </w:tc>
        <w:tc>
          <w:tcPr>
            <w:tcW w:w="163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283"/>
              <w:jc w:val="center"/>
              <w:rPr>
                <w:rFonts w:ascii="Montserrat;sans-serif" w:hAnsi="Montserrat;sans-serif"/>
                <w:color w:val="000000"/>
                <w:sz w:val="17"/>
              </w:rPr>
            </w:pPr>
            <w:r>
              <w:rPr>
                <w:rFonts w:ascii="Montserrat;sans-serif" w:hAnsi="Montserrat;sans-serif"/>
                <w:color w:val="000000"/>
                <w:sz w:val="17"/>
              </w:rPr>
              <w:t>Trading Symbol(s)</w:t>
            </w:r>
          </w:p>
        </w:tc>
        <w:tc>
          <w:tcPr>
            <w:tcW w:w="387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283"/>
              <w:jc w:val="center"/>
              <w:rPr>
                <w:rFonts w:ascii="Montserrat;sans-serif" w:hAnsi="Montserrat;sans-serif"/>
                <w:color w:val="000000"/>
                <w:sz w:val="17"/>
              </w:rPr>
            </w:pPr>
            <w:r>
              <w:rPr>
                <w:rFonts w:ascii="Montserrat;sans-serif" w:hAnsi="Montserrat;sans-serif"/>
                <w:color w:val="000000"/>
                <w:sz w:val="17"/>
              </w:rPr>
              <w:t>Name of each exchange on which registered</w:t>
            </w:r>
          </w:p>
        </w:tc>
      </w:tr>
      <w:tr>
        <w:trPr/>
        <w:tc>
          <w:tcPr>
            <w:tcW w:w="331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80" w:after="283"/>
              <w:jc w:val="center"/>
              <w:rPr>
                <w:rFonts w:ascii="Montserrat;sans-serif" w:hAnsi="Montserrat;sans-serif"/>
                <w:b/>
                <w:color w:val="000000"/>
                <w:sz w:val="17"/>
              </w:rPr>
            </w:pPr>
            <w:r>
              <w:rPr>
                <w:rFonts w:ascii="Montserrat;sans-serif" w:hAnsi="Montserrat;sans-serif"/>
                <w:b/>
                <w:color w:val="000000"/>
                <w:sz w:val="17"/>
              </w:rPr>
              <w:t>Common stock, par value $0.0001</w:t>
            </w:r>
          </w:p>
        </w:tc>
        <w:tc>
          <w:tcPr>
            <w:tcW w:w="1636" w:type="dxa"/>
            <w:tcBorders>
              <w:bottom w:val="single" w:sz="4" w:space="0" w:color="000000"/>
              <w:right w:val="single" w:sz="4" w:space="0" w:color="000000"/>
            </w:tcBorders>
            <w:tcMar>
              <w:top w:w="0" w:type="dxa"/>
              <w:left w:w="0" w:type="dxa"/>
            </w:tcMar>
            <w:vAlign w:val="center"/>
          </w:tcPr>
          <w:p>
            <w:pPr>
              <w:pStyle w:val="TableContents"/>
              <w:bidi w:val="0"/>
              <w:spacing w:before="80" w:after="283"/>
              <w:jc w:val="center"/>
              <w:rPr>
                <w:rFonts w:ascii="Montserrat;sans-serif" w:hAnsi="Montserrat;sans-serif"/>
                <w:b/>
                <w:color w:val="000000"/>
                <w:sz w:val="17"/>
              </w:rPr>
            </w:pPr>
            <w:r>
              <w:rPr>
                <w:rFonts w:ascii="Montserrat;sans-serif" w:hAnsi="Montserrat;sans-serif"/>
                <w:b/>
                <w:color w:val="000000"/>
                <w:sz w:val="17"/>
              </w:rPr>
              <w:t>KOD</w:t>
            </w:r>
          </w:p>
        </w:tc>
        <w:tc>
          <w:tcPr>
            <w:tcW w:w="3871" w:type="dxa"/>
            <w:tcBorders>
              <w:bottom w:val="single" w:sz="4" w:space="0" w:color="000000"/>
              <w:right w:val="single" w:sz="4" w:space="0" w:color="000000"/>
            </w:tcBorders>
            <w:tcMar>
              <w:top w:w="0" w:type="dxa"/>
              <w:left w:w="0" w:type="dxa"/>
            </w:tcMar>
            <w:vAlign w:val="center"/>
          </w:tcPr>
          <w:p>
            <w:pPr>
              <w:pStyle w:val="TableContents"/>
              <w:bidi w:val="0"/>
              <w:spacing w:before="80" w:after="283"/>
              <w:jc w:val="center"/>
              <w:rPr>
                <w:rFonts w:ascii="Montserrat;sans-serif" w:hAnsi="Montserrat;sans-serif"/>
                <w:b/>
                <w:color w:val="000000"/>
                <w:sz w:val="17"/>
              </w:rPr>
            </w:pPr>
            <w:r>
              <w:rPr>
                <w:rFonts w:ascii="Montserrat;sans-serif" w:hAnsi="Montserrat;sans-serif"/>
                <w:b/>
                <w:color w:val="000000"/>
                <w:sz w:val="17"/>
              </w:rPr>
              <w:t>The Nasdaq Stock Market LLC</w:t>
            </w:r>
          </w:p>
        </w:tc>
      </w:tr>
    </w:tbl>
    <w:p>
      <w:pPr>
        <w:pStyle w:val="TextBody"/>
        <w:bidi w:val="0"/>
        <w:jc w:val="center"/>
        <w:rPr/>
      </w:pPr>
      <w:r>
        <w:rPr/>
        <w:t> </w:t>
      </w:r>
    </w:p>
    <w:p>
      <w:pPr>
        <w:pStyle w:val="TextBody"/>
        <w:bidi w:val="0"/>
        <w:spacing w:before="0" w:after="120"/>
        <w:jc w:val="left"/>
        <w:rPr>
          <w:rFonts w:ascii="Times New Roman" w:hAnsi="Times New Roman"/>
          <w:sz w:val="20"/>
        </w:rPr>
      </w:pPr>
      <w:r>
        <w:rPr>
          <w:rFonts w:ascii="Montserrat;sans-serif" w:hAnsi="Montserrat;sans-serif"/>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Montserrat;sans-serif" w:hAnsi="Montserrat;sans-serif"/>
          <w:color w:val="000000"/>
          <w:sz w:val="16"/>
        </w:rPr>
        <w:t>No ☐</w:t>
      </w:r>
    </w:p>
    <w:p>
      <w:pPr>
        <w:pStyle w:val="TextBody"/>
        <w:bidi w:val="0"/>
        <w:spacing w:before="0" w:after="120"/>
        <w:jc w:val="left"/>
        <w:rPr>
          <w:rFonts w:ascii="Times New Roman" w:hAnsi="Times New Roman"/>
          <w:sz w:val="20"/>
        </w:rPr>
      </w:pPr>
      <w:r>
        <w:rPr>
          <w:rFonts w:ascii="Montserrat;sans-serif" w:hAnsi="Montserrat;sans-serif"/>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Montserrat;sans-serif" w:hAnsi="Montserrat;sans-serif"/>
          <w:color w:val="000000"/>
          <w:sz w:val="16"/>
        </w:rPr>
        <w:t>No ☐</w:t>
      </w:r>
    </w:p>
    <w:p>
      <w:pPr>
        <w:pStyle w:val="TextBody"/>
        <w:bidi w:val="0"/>
        <w:spacing w:before="0" w:after="100"/>
        <w:jc w:val="both"/>
        <w:rPr>
          <w:rFonts w:ascii="Montserrat;sans-serif" w:hAnsi="Montserrat;sans-serif"/>
          <w:color w:val="000000"/>
          <w:sz w:val="16"/>
        </w:rPr>
      </w:pPr>
      <w:r>
        <w:rPr>
          <w:rFonts w:ascii="Montserrat;sans-serif" w:hAnsi="Montserrat;sans-serif"/>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9" w:type="dxa"/>
        <w:jc w:val="left"/>
        <w:tblInd w:w="0" w:type="dxa"/>
        <w:tblLayout w:type="fixed"/>
        <w:tblCellMar>
          <w:top w:w="28" w:type="dxa"/>
          <w:left w:w="28" w:type="dxa"/>
          <w:bottom w:w="28" w:type="dxa"/>
          <w:right w:w="28" w:type="dxa"/>
        </w:tblCellMar>
      </w:tblPr>
      <w:tblGrid>
        <w:gridCol w:w="2011"/>
        <w:gridCol w:w="316"/>
        <w:gridCol w:w="2401"/>
        <w:gridCol w:w="361"/>
      </w:tblGrid>
      <w:tr>
        <w:trPr/>
        <w:tc>
          <w:tcPr>
            <w:tcW w:w="20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0" w:after="120"/>
        <w:jc w:val="left"/>
        <w:rPr>
          <w:rFonts w:ascii="Montserrat;sans-serif" w:hAnsi="Montserrat;sans-serif"/>
          <w:color w:val="000000"/>
          <w:sz w:val="16"/>
        </w:rPr>
      </w:pPr>
      <w:r>
        <w:rPr>
          <w:rFonts w:ascii="Montserrat;sans-serif" w:hAnsi="Montserrat;sans-serif"/>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jc w:val="left"/>
        <w:rPr>
          <w:rFonts w:ascii="Times New Roman" w:hAnsi="Times New Roman"/>
          <w:sz w:val="20"/>
        </w:rPr>
      </w:pPr>
      <w:r>
        <w:rPr>
          <w:rFonts w:ascii="Montserrat;sans-serif" w:hAnsi="Montserrat;sans-serif"/>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0" w:after="80"/>
        <w:jc w:val="left"/>
        <w:rPr>
          <w:rFonts w:ascii="Times New Roman" w:hAnsi="Times New Roman"/>
          <w:sz w:val="20"/>
        </w:rPr>
      </w:pPr>
      <w:r>
        <w:rPr>
          <w:rFonts w:ascii="Montserrat;sans-serif" w:hAnsi="Montserrat;sans-serif"/>
          <w:color w:val="000000"/>
          <w:sz w:val="16"/>
        </w:rPr>
        <w:t>As of August 6, 2026, the registrant had 62,849,457</w:t>
      </w:r>
      <w:r>
        <w:rPr>
          <w:rFonts w:ascii="Times New Roman" w:hAnsi="Times New Roman"/>
          <w:color w:val="000000"/>
          <w:sz w:val="20"/>
        </w:rPr>
        <w:t xml:space="preserve"> </w:t>
      </w:r>
      <w:r>
        <w:rPr>
          <w:rFonts w:ascii="Montserrat;sans-serif" w:hAnsi="Montserrat;sans-serif"/>
          <w:color w:val="000000"/>
          <w:sz w:val="16"/>
        </w:rPr>
        <w:t>shares of common stock outstanding.</w:t>
      </w:r>
    </w:p>
    <w:p>
      <w:pPr>
        <w:pStyle w:val="TextBody"/>
        <w:pBdr>
          <w:bottom w:val="double" w:sz="4" w:space="1" w:color="000000"/>
        </w:pBdr>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SPECIAL NOTE REGARDING FORWARD-LOOKING STATEMENTS</w:t>
      </w:r>
    </w:p>
    <w:p>
      <w:pPr>
        <w:pStyle w:val="TextBody"/>
        <w:bidi w:val="0"/>
        <w:spacing w:before="120" w:after="283"/>
        <w:jc w:val="left"/>
        <w:rPr>
          <w:rFonts w:ascii="Times New Roman" w:hAnsi="Times New Roman"/>
          <w:sz w:val="20"/>
        </w:rPr>
      </w:pPr>
      <w:r>
        <w:rPr>
          <w:rFonts w:ascii="Montserrat;sans-serif" w:hAnsi="Montserrat;sans-serif"/>
          <w:color w:val="000000"/>
          <w:sz w:val="18"/>
        </w:rPr>
        <w:t>This Quarterly Report on Form 10-Q, or Quarterly Report, contains “forward-looking statements” within the meaning of Section 21E of the Securities Exchange Act of 1934, as amended, or Exchange Act. We have based these forward-looking statements largely on our current expectations about future events. Forward-looking statements are not guarantees of future performance or results. Forward-looking statements are based on information available at the time those statements are made and are subject to risks and uncertainties that could cause actual performance or results to differ materially from those in the forward-looking statements.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statements reflect our current views and are based on assumptions and subject to risks and uncertainties, including those set forth in “Part II, Item 1A — Risk Factors” and elsewhere in this Quarterly Report.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success, cost and timing of our development activities, preclinical studies, clinical trials and regulatory filings;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ability to obtain funding for our operations, including funding necessary to develop, manufacture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translation of our preclinical results and data and early clinical trial results in particular relating to safety, efficacy and durability into future clinical trials in humans;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continued durability, efficacy and safety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ability to progress each of our product candidates, including tarcocimab, KSI-501 and KSI-101, into later stages of development and towards a Biologics License Application, or BLA;</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scope, progress, results and costs of developing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number, size and design of clinical trials that regulatory authorities may require to obtain marketing approval, including the order and number of clinical studies required to support a BLA in retinal vein occlusion, or RVO, diabetic retinopathy, or DR, wet age-related macular degeneration, or wet AMD, and diabetic macular edema, or DME, or any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and Lonza’s ability to successfully execute on our manufacturing development plan;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expectations regarding chemistry manufacturing and controls, or CMC, requirements of the United States Food and Drug Administration, or FDA, and other regulatory bodies to support any BLA submission and potential commercial launch;</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expectations regarding enhancements and benefits of new formulations of tarcocimab, KSI-501, KSI-101 or other Antibody Biopolymer Conjugate, or ABC, Platform derived molecules;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timing or likelihood of regulatory filings and approvals and any related restrictions, limitations and/or warnings in the label of any approved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rate and degree of market acceptance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size and growth potential of the markets for our product candidates, if approved for commercial use,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pricing and reimbursement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success of competing products or platform technologies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plans and ability to establish sales, marketing and distribution infrastructure to commercialize any product candidates for which we obtain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expectation as to the concentration of retinal specialists in the United States and its impact on our sales and marketing plans;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uncertainties regarding the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ability to contract with third-party suppliers and manufacturers and their ability to perform adequately;</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scope of protection we are able to establish and maintain for intellectual property rights covering our product candidates and technology;</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potential claims relating to our intellectual property and third-party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existing regulations and regulatory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impact of the unfavorable U.S. and global economic conditions on our business and operations, the business and operations of our collaborators, and on the global economy;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accuracy of our estimates regarding the sufficiency of our cash resources, expenses, future revenue, capital requirements and needs for additional financing, as well as, our ability to continue as a going concern;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financial performance; and</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aspirational goals and objectives related to our human capital resources and workforce objectives, including our ability to attract and retain key managerial, scientific and medical personnel.</w:t>
      </w:r>
    </w:p>
    <w:p>
      <w:pPr>
        <w:pStyle w:val="TextBody"/>
        <w:bidi w:val="0"/>
        <w:spacing w:before="120" w:after="283"/>
        <w:jc w:val="left"/>
        <w:rPr>
          <w:rFonts w:ascii="Times New Roman" w:hAnsi="Times New Roman"/>
          <w:sz w:val="20"/>
        </w:rPr>
      </w:pPr>
      <w:r>
        <w:rPr>
          <w:rFonts w:ascii="Montserrat;sans-serif" w:hAnsi="Montserrat;sans-serif"/>
          <w:color w:val="000000"/>
          <w:sz w:val="18"/>
        </w:rPr>
        <w:t>All forward-looking statements are based on information available to us on the date of this Quarterly Report and we will not update any of the forward-looking statements after the date of this Quarterly Report, except as required by law. Our actual results could differ materially from those discussed in this Quarterly Report. The forward-looking statements contained in this Quarterly Report,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titled “Part II, Item 1A — Risk Factors”.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addition, statements that “we believe” and similar statements reflect our beliefs and opinions on the relevant subject.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120" w:after="283"/>
        <w:jc w:val="left"/>
        <w:rPr>
          <w:rFonts w:ascii="Montserrat;sans-serif" w:hAnsi="Montserrat;sans-serif"/>
          <w:i/>
          <w:color w:val="000000"/>
          <w:sz w:val="18"/>
        </w:rPr>
      </w:pPr>
      <w:r>
        <w:rPr>
          <w:rFonts w:ascii="Montserrat;sans-serif" w:hAnsi="Montserrat;sans-serif"/>
          <w:i/>
          <w:color w:val="000000"/>
          <w:sz w:val="18"/>
        </w:rPr>
        <w:t>All brand names or trademarks appearing in this Quarterly Report are the property of their respective holders. Unless the context requires otherwise, references in this Quarterly Report to “Kodiak,” the “Company,” “we,” “us” and “our” refer to Kodiak Sciences Inc. and its subsidiaries.</w:t>
      </w:r>
    </w:p>
    <w:p>
      <w:pPr>
        <w:pStyle w:val="TextBody"/>
        <w:bidi w:val="0"/>
        <w:spacing w:before="120" w:after="283"/>
        <w:jc w:val="left"/>
        <w:rPr>
          <w:rFonts w:ascii="Times New Roman" w:hAnsi="Times New Roman"/>
          <w:sz w:val="20"/>
        </w:rPr>
      </w:pPr>
      <w:r>
        <w:rPr>
          <w:rFonts w:ascii="Montserrat;sans-serif" w:hAnsi="Montserrat;sans-serif"/>
          <w:i/>
          <w:color w:val="000000"/>
          <w:sz w:val="18"/>
        </w:rPr>
        <w:t>Kodiak</w:t>
      </w:r>
      <w:r>
        <w:rPr>
          <w:rFonts w:ascii="Montserrat;sans-serif" w:hAnsi="Montserrat;sans-serif"/>
          <w:i/>
          <w:color w:val="000000"/>
          <w:sz w:val="12"/>
        </w:rPr>
        <w:t>®</w:t>
      </w:r>
      <w:r>
        <w:rPr>
          <w:rFonts w:ascii="Montserrat;sans-serif" w:hAnsi="Montserrat;sans-serif"/>
          <w:i/>
          <w:color w:val="000000"/>
          <w:sz w:val="18"/>
        </w:rPr>
        <w:t>, Kodiak Sciences</w:t>
      </w:r>
      <w:r>
        <w:rPr>
          <w:rFonts w:ascii="Montserrat;sans-serif" w:hAnsi="Montserrat;sans-serif"/>
          <w:i/>
          <w:color w:val="000000"/>
          <w:sz w:val="12"/>
        </w:rPr>
        <w:t>®</w:t>
      </w:r>
      <w:r>
        <w:rPr>
          <w:rFonts w:ascii="Montserrat;sans-serif" w:hAnsi="Montserrat;sans-serif"/>
          <w:i/>
          <w:color w:val="000000"/>
          <w:sz w:val="18"/>
        </w:rPr>
        <w:t>, ABC</w:t>
      </w:r>
      <w:r>
        <w:rPr>
          <w:rFonts w:ascii="Montserrat;sans-serif" w:hAnsi="Montserrat;sans-serif"/>
          <w:i/>
          <w:color w:val="000000"/>
          <w:sz w:val="12"/>
        </w:rPr>
        <w:t>®</w:t>
      </w:r>
      <w:r>
        <w:rPr>
          <w:rFonts w:ascii="Montserrat;sans-serif" w:hAnsi="Montserrat;sans-serif"/>
          <w:i/>
          <w:color w:val="000000"/>
          <w:sz w:val="18"/>
        </w:rPr>
        <w:t>, ABC Platform</w:t>
      </w:r>
      <w:r>
        <w:rPr>
          <w:rFonts w:ascii="Montserrat;sans-serif" w:hAnsi="Montserrat;sans-serif"/>
          <w:i/>
          <w:color w:val="000000"/>
          <w:sz w:val="12"/>
        </w:rPr>
        <w:t></w:t>
      </w:r>
      <w:r>
        <w:rPr>
          <w:rFonts w:ascii="Montserrat;sans-serif" w:hAnsi="Montserrat;sans-serif"/>
          <w:i/>
          <w:color w:val="000000"/>
          <w:sz w:val="18"/>
        </w:rPr>
        <w:t>, ABCD, Zenkuda, VETi and the Kodiak logo are registered trademarks or trademarks of Kodiak Sciences Inc. in various global jurisdictions.</w:t>
      </w:r>
    </w:p>
    <w:p>
      <w:pPr>
        <w:pStyle w:val="TextBody"/>
        <w:bidi w:val="0"/>
        <w:jc w:val="left"/>
        <w:rPr/>
      </w:pPr>
      <w:r>
        <w:rPr/>
        <w:t>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SELECTED RISKS AFFECTING OUR BUSINESS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Investing in our common stock involves numerous risks, including the risks described in “Part II, Item 1A — Risk Factors” of this Quarterly Report on Form 10-Q, any one of which could materially adversely affect our business, financial condition, results of operations, and prospects. These risks include, among others, the following:</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We are in the clinical stage of drug development and have a limited operating history and no products approved for commercial sale, which may make it difficult to evaluate our current business and predict our future success and viability.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We have incurred significant net losses in each period since our inception and anticipate that we will continue to incur significant and increasing net losses for the foreseeable future.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Our financial condition raises substantial doubt about our ability to continue as a going concern.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If we fail to obtain additional financing, we may be unable to complete the development and, if approved, commercialization of our product candidates.</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Drug development is a highly uncertain undertaking and involves a substantial degree of risk. We have never generated any revenue from product sales, and we may never generate revenue or be profitable.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Our prospects are heavily dependent on our ability to successfully develop, obtain regulatory approval for and successfully commercialize tarcocimab, KSI-501 and KSI-101, our product candidates, which are currently in clinical development for multiple indications.</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The failure of pivotal studies to meet their primary efficacy endpoints may lead us to pause, change or discontinue development of product candidates based on our ABC Platform.</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Our plans for the development of tarcocimab, KSI-501 or KSI-101 may be unsuccessful.</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Research and development of biopharmaceutical products is inherently risky. We cannot give any assurance that any of our product candidates will receive regulatory, including marketing, approval, which is necessary before they can be commercialized.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We may encounter substantial delays in our clinical trials, or may not be able to conduct or complete our clinical trials on the timelines we expect, if at all.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Our clinical trials may fail to demonstrate substantial evidence of the durability, efficacy and safety of our product candidates, which would prevent, delay or limit the scope of regulatory approval and commercialization.</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The regulatory approval processes of the FDA, European Medicines Agency, or EMA, and comparable foreign regulatory authorities are lengthy, time consuming, expensive and inherently unpredictable. If we are ultimately unable to obtain regulatory approval for our product candidates, we will be unable to generate product revenue and our business will be substantially harmed.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Montserrat;sans-serif" w:hAnsi="Montserrat;sans-serif"/>
          <w:b/>
          <w:color w:val="000000"/>
          <w:sz w:val="18"/>
        </w:rPr>
      </w:pPr>
      <w:r>
        <w:rPr>
          <w:rFonts w:ascii="Montserrat;sans-serif" w:hAnsi="Montserrat;sans-serif"/>
          <w:b/>
          <w:color w:val="000000"/>
          <w:sz w:val="18"/>
        </w:rPr>
        <w:t>KODIAK SCIENCES INC.</w:t>
      </w:r>
    </w:p>
    <w:p>
      <w:pPr>
        <w:pStyle w:val="TextBody"/>
        <w:bidi w:val="0"/>
        <w:spacing w:before="240" w:after="283"/>
        <w:jc w:val="center"/>
        <w:rPr>
          <w:rFonts w:ascii="Montserrat;sans-serif" w:hAnsi="Montserrat;sans-serif"/>
          <w:b/>
          <w:color w:val="000000"/>
          <w:sz w:val="18"/>
        </w:rPr>
      </w:pPr>
      <w:r>
        <w:rPr>
          <w:rFonts w:ascii="Montserrat;sans-serif" w:hAnsi="Montserrat;sans-serif"/>
          <w:b/>
          <w:color w:val="000000"/>
          <w:sz w:val="18"/>
        </w:rPr>
        <w:t>FORM 10-Q</w:t>
      </w:r>
    </w:p>
    <w:p>
      <w:pPr>
        <w:pStyle w:val="TextBody"/>
        <w:bidi w:val="0"/>
        <w:jc w:val="center"/>
        <w:rPr>
          <w:rFonts w:ascii="Montserrat;sans-serif" w:hAnsi="Montserrat;sans-serif"/>
          <w:b/>
          <w:color w:val="000000"/>
          <w:sz w:val="18"/>
        </w:rPr>
      </w:pPr>
      <w:r>
        <w:rPr>
          <w:rFonts w:ascii="Montserrat;sans-serif" w:hAnsi="Montserrat;sans-serif"/>
          <w:b/>
          <w:color w:val="000000"/>
          <w:sz w:val="18"/>
        </w:rPr>
        <w:t>For the Quarterly Period Ended June 30, 2026</w:t>
      </w:r>
    </w:p>
    <w:p>
      <w:pPr>
        <w:pStyle w:val="TextBody"/>
        <w:bidi w:val="0"/>
        <w:spacing w:before="240" w:after="283"/>
        <w:jc w:val="center"/>
        <w:rPr>
          <w:rFonts w:ascii="Montserrat;sans-serif" w:hAnsi="Montserrat;sans-serif"/>
          <w:b/>
          <w:color w:val="000000"/>
          <w:sz w:val="18"/>
        </w:rPr>
      </w:pPr>
      <w:r>
        <w:rPr>
          <w:rFonts w:ascii="Montserrat;sans-serif" w:hAnsi="Montserrat;sans-serif"/>
          <w:b/>
          <w:color w:val="000000"/>
          <w:sz w:val="18"/>
        </w:rPr>
        <w:t>TABLE OF CONTENTS</w:t>
      </w:r>
    </w:p>
    <w:p>
      <w:pPr>
        <w:pStyle w:val="TextBody"/>
        <w:bidi w:val="0"/>
        <w:jc w:val="left"/>
        <w:rPr/>
      </w:pPr>
      <w:r>
        <w:rPr/>
        <w:t> </w:t>
      </w:r>
    </w:p>
    <w:tbl>
      <w:tblPr>
        <w:tblW w:w="9558" w:type="dxa"/>
        <w:jc w:val="left"/>
        <w:tblInd w:w="0" w:type="dxa"/>
        <w:tblLayout w:type="fixed"/>
        <w:tblCellMar>
          <w:top w:w="28" w:type="dxa"/>
          <w:left w:w="28" w:type="dxa"/>
          <w:bottom w:w="28" w:type="dxa"/>
          <w:right w:w="28" w:type="dxa"/>
        </w:tblCellMar>
      </w:tblPr>
      <w:tblGrid>
        <w:gridCol w:w="901"/>
        <w:gridCol w:w="7996"/>
        <w:gridCol w:w="661"/>
      </w:tblGrid>
      <w:tr>
        <w:trPr/>
        <w:tc>
          <w:tcPr>
            <w:tcW w:w="901" w:type="dxa"/>
            <w:tcBorders/>
            <w:vAlign w:val="center"/>
          </w:tcPr>
          <w:p>
            <w:pPr>
              <w:pStyle w:val="TableContents"/>
              <w:bidi w:val="0"/>
              <w:spacing w:before="0" w:after="283"/>
              <w:jc w:val="left"/>
              <w:rPr>
                <w:sz w:val="4"/>
                <w:szCs w:val="4"/>
              </w:rPr>
            </w:pPr>
            <w:r>
              <w:rPr>
                <w:sz w:val="4"/>
                <w:szCs w:val="4"/>
              </w:rPr>
            </w:r>
          </w:p>
        </w:tc>
        <w:tc>
          <w:tcPr>
            <w:tcW w:w="79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Page</w:t>
            </w:r>
          </w:p>
        </w:tc>
      </w:tr>
      <w:tr>
        <w:trPr/>
        <w:tc>
          <w:tcPr>
            <w:tcW w:w="9558" w:type="dxa"/>
            <w:gridSpan w:val="3"/>
            <w:tcBorders/>
            <w:shd w:fill="CFF0FC" w:val="clear"/>
            <w:tcMar>
              <w:top w:w="0" w:type="dxa"/>
              <w:left w:w="0" w:type="dxa"/>
              <w:bottom w:w="0" w:type="dxa"/>
              <w:right w:w="0" w:type="dxa"/>
            </w:tcMar>
            <w:vAlign w:val="center"/>
          </w:tcPr>
          <w:p>
            <w:pPr>
              <w:pStyle w:val="TableContents"/>
              <w:bidi w:val="0"/>
              <w:spacing w:before="0" w:after="283"/>
              <w:jc w:val="center"/>
              <w:rPr/>
            </w:pPr>
            <w:hyperlink w:anchor="part_ifinancial_information">
              <w:r>
                <w:rPr>
                  <w:rStyle w:val="InternetLink"/>
                  <w:rFonts w:ascii="Montserrat;sans-serif" w:hAnsi="Montserrat;sans-serif"/>
                  <w:color w:val="0000FF"/>
                  <w:sz w:val="18"/>
                  <w:u w:val="single"/>
                </w:rPr>
                <w:t>PART I — FINANCIAL INFORMATION</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1.</w:t>
            </w:r>
          </w:p>
        </w:tc>
        <w:tc>
          <w:tcPr>
            <w:tcW w:w="799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Montserrat;sans-serif" w:hAnsi="Montserrat;sans-serif"/>
                  <w:color w:val="0000FF"/>
                  <w:sz w:val="18"/>
                  <w:u w:val="single"/>
                </w:rPr>
                <w:t>Financial Statements (Unaudited)</w:t>
              </w:r>
            </w:hyperlink>
          </w:p>
        </w:tc>
        <w:tc>
          <w:tcPr>
            <w:tcW w:w="661" w:type="dxa"/>
            <w:tcBorders/>
            <w:tcMar>
              <w:top w:w="0" w:type="dxa"/>
              <w:left w:w="0" w:type="dxa"/>
              <w:bottom w:w="0" w:type="dxa"/>
              <w:right w:w="0" w:type="dxa"/>
            </w:tcMar>
            <w:vAlign w:val="center"/>
          </w:tcPr>
          <w:p>
            <w:pPr>
              <w:pStyle w:val="TableContents"/>
              <w:bidi w:val="0"/>
              <w:spacing w:before="0" w:after="283"/>
              <w:ind w:left="0" w:right="0" w:firstLine="137"/>
              <w:jc w:val="center"/>
              <w:rPr>
                <w:rFonts w:ascii="Montserrat;sans-serif" w:hAnsi="Montserrat;sans-serif"/>
                <w:color w:val="000000"/>
                <w:sz w:val="18"/>
              </w:rPr>
            </w:pPr>
            <w:r>
              <w:rPr>
                <w:rFonts w:ascii="Montserrat;sans-serif" w:hAnsi="Montserrat;sans-serif"/>
                <w:color w:val="000000"/>
                <w:sz w:val="18"/>
              </w:rPr>
              <w:t>1</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99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balance_sheets">
              <w:r>
                <w:rPr>
                  <w:rStyle w:val="InternetLink"/>
                  <w:rFonts w:ascii="Montserrat;sans-serif" w:hAnsi="Montserrat;sans-serif"/>
                  <w:color w:val="0000FF"/>
                  <w:sz w:val="18"/>
                  <w:u w:val="single"/>
                </w:rPr>
                <w:t>Condensed Consolidated Balance Sheets</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center"/>
              <w:rPr>
                <w:rFonts w:ascii="Montserrat;sans-serif" w:hAnsi="Montserrat;sans-serif"/>
                <w:color w:val="000000"/>
                <w:sz w:val="18"/>
              </w:rPr>
            </w:pPr>
            <w:r>
              <w:rPr>
                <w:rFonts w:ascii="Montserrat;sans-serif" w:hAnsi="Montserrat;sans-serif"/>
                <w:color w:val="000000"/>
                <w:sz w:val="18"/>
              </w:rPr>
              <w:t>1</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99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operat">
              <w:r>
                <w:rPr>
                  <w:rStyle w:val="InternetLink"/>
                  <w:rFonts w:ascii="Montserrat;sans-serif" w:hAnsi="Montserrat;sans-serif"/>
                  <w:color w:val="0000FF"/>
                  <w:sz w:val="18"/>
                  <w:u w:val="single"/>
                </w:rPr>
                <w:t>Condensed Consolidated Statements of Operations and Comprehensive Loss</w:t>
              </w:r>
            </w:hyperlink>
          </w:p>
        </w:tc>
        <w:tc>
          <w:tcPr>
            <w:tcW w:w="661" w:type="dxa"/>
            <w:tcBorders/>
            <w:tcMar>
              <w:top w:w="0" w:type="dxa"/>
              <w:left w:w="0" w:type="dxa"/>
              <w:bottom w:w="0" w:type="dxa"/>
              <w:right w:w="0" w:type="dxa"/>
            </w:tcMar>
            <w:vAlign w:val="center"/>
          </w:tcPr>
          <w:p>
            <w:pPr>
              <w:pStyle w:val="TableContents"/>
              <w:bidi w:val="0"/>
              <w:spacing w:before="0" w:after="283"/>
              <w:ind w:left="0" w:right="0" w:firstLine="137"/>
              <w:jc w:val="center"/>
              <w:rPr>
                <w:rFonts w:ascii="Montserrat;sans-serif" w:hAnsi="Montserrat;sans-serif"/>
                <w:color w:val="000000"/>
                <w:sz w:val="18"/>
              </w:rPr>
            </w:pPr>
            <w:r>
              <w:rPr>
                <w:rFonts w:ascii="Montserrat;sans-serif" w:hAnsi="Montserrat;sans-serif"/>
                <w:color w:val="000000"/>
                <w:sz w:val="18"/>
              </w:rPr>
              <w:t>2</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799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stockh">
              <w:r>
                <w:rPr>
                  <w:rStyle w:val="InternetLink"/>
                  <w:rFonts w:ascii="Montserrat;sans-serif" w:hAnsi="Montserrat;sans-serif"/>
                  <w:color w:val="0000FF"/>
                  <w:sz w:val="18"/>
                  <w:u w:val="single"/>
                </w:rPr>
                <w:t>Condensed Consolidated Statements of Stockholders’ Equity</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center"/>
              <w:rPr>
                <w:rFonts w:ascii="Montserrat;sans-serif" w:hAnsi="Montserrat;sans-serif"/>
                <w:color w:val="000000"/>
                <w:sz w:val="18"/>
              </w:rPr>
            </w:pPr>
            <w:r>
              <w:rPr>
                <w:rFonts w:ascii="Montserrat;sans-serif" w:hAnsi="Montserrat;sans-serif"/>
                <w:color w:val="000000"/>
                <w:sz w:val="18"/>
              </w:rPr>
              <w:t>3</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99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cash_f">
              <w:r>
                <w:rPr>
                  <w:rStyle w:val="InternetLink"/>
                  <w:rFonts w:ascii="Montserrat;sans-serif" w:hAnsi="Montserrat;sans-serif"/>
                  <w:color w:val="0000FF"/>
                  <w:sz w:val="18"/>
                  <w:u w:val="single"/>
                </w:rPr>
                <w:t>Condensed Consolidated Statements of Cash Flows</w:t>
              </w:r>
            </w:hyperlink>
          </w:p>
        </w:tc>
        <w:tc>
          <w:tcPr>
            <w:tcW w:w="661" w:type="dxa"/>
            <w:tcBorders/>
            <w:tcMar>
              <w:top w:w="0" w:type="dxa"/>
              <w:left w:w="0" w:type="dxa"/>
              <w:bottom w:w="0" w:type="dxa"/>
              <w:right w:w="0" w:type="dxa"/>
            </w:tcMar>
            <w:vAlign w:val="center"/>
          </w:tcPr>
          <w:p>
            <w:pPr>
              <w:pStyle w:val="TableContents"/>
              <w:bidi w:val="0"/>
              <w:spacing w:before="0" w:after="283"/>
              <w:ind w:left="0" w:right="0" w:firstLine="137"/>
              <w:jc w:val="center"/>
              <w:rPr>
                <w:rFonts w:ascii="Montserrat;sans-serif" w:hAnsi="Montserrat;sans-serif"/>
                <w:color w:val="000000"/>
                <w:sz w:val="18"/>
              </w:rPr>
            </w:pPr>
            <w:r>
              <w:rPr>
                <w:rFonts w:ascii="Montserrat;sans-serif" w:hAnsi="Montserrat;sans-serif"/>
                <w:color w:val="000000"/>
                <w:sz w:val="18"/>
              </w:rPr>
              <w:t>4</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99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notes_to_financial_statements">
              <w:r>
                <w:rPr>
                  <w:rStyle w:val="InternetLink"/>
                  <w:rFonts w:ascii="Montserrat;sans-serif" w:hAnsi="Montserrat;sans-serif"/>
                  <w:color w:val="0000FF"/>
                  <w:sz w:val="18"/>
                  <w:u w:val="single"/>
                </w:rPr>
                <w:t>Notes to Unaudited Condensed Consolidated Financial Statements</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5</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2.</w:t>
            </w:r>
          </w:p>
        </w:tc>
        <w:tc>
          <w:tcPr>
            <w:tcW w:w="799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Montserrat;sans-serif" w:hAnsi="Montserrat;sans-serif"/>
                  <w:color w:val="0000FF"/>
                  <w:sz w:val="18"/>
                  <w:u w:val="single"/>
                </w:rPr>
                <w:t>Management’s Discussion and Analysis of Financial Condition and Results of Operations</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13</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3.</w:t>
            </w:r>
          </w:p>
        </w:tc>
        <w:tc>
          <w:tcPr>
            <w:tcW w:w="799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Montserrat;sans-serif" w:hAnsi="Montserrat;sans-serif"/>
                  <w:color w:val="0000FF"/>
                  <w:sz w:val="18"/>
                  <w:u w:val="single"/>
                </w:rPr>
                <w:t>Quantitative and Qualitative Disclosures About Market Risk</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22</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4.</w:t>
            </w:r>
          </w:p>
        </w:tc>
        <w:tc>
          <w:tcPr>
            <w:tcW w:w="799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Montserrat;sans-serif" w:hAnsi="Montserrat;sans-serif"/>
                  <w:color w:val="0000FF"/>
                  <w:sz w:val="18"/>
                  <w:u w:val="single"/>
                </w:rPr>
                <w:t>Controls and Procedures</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22</w:t>
            </w:r>
          </w:p>
        </w:tc>
      </w:tr>
      <w:tr>
        <w:trPr/>
        <w:tc>
          <w:tcPr>
            <w:tcW w:w="9558" w:type="dxa"/>
            <w:gridSpan w:val="3"/>
            <w:tcBorders/>
            <w:shd w:fill="CFF0FC" w:val="clear"/>
            <w:tcMar>
              <w:top w:w="0" w:type="dxa"/>
              <w:left w:w="0" w:type="dxa"/>
              <w:bottom w:w="0" w:type="dxa"/>
              <w:right w:w="0" w:type="dxa"/>
            </w:tcMar>
            <w:vAlign w:val="center"/>
          </w:tcPr>
          <w:p>
            <w:pPr>
              <w:pStyle w:val="TableContents"/>
              <w:bidi w:val="0"/>
              <w:spacing w:before="0" w:after="283"/>
              <w:jc w:val="center"/>
              <w:rPr/>
            </w:pPr>
            <w:hyperlink w:anchor="part_iior_information">
              <w:r>
                <w:rPr>
                  <w:rStyle w:val="InternetLink"/>
                  <w:rFonts w:ascii="Montserrat;sans-serif" w:hAnsi="Montserrat;sans-serif"/>
                  <w:color w:val="0000FF"/>
                  <w:sz w:val="18"/>
                  <w:u w:val="single"/>
                </w:rPr>
                <w:t>PART II — OTHER INFORMATION</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1.</w:t>
            </w:r>
          </w:p>
        </w:tc>
        <w:tc>
          <w:tcPr>
            <w:tcW w:w="799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Montserrat;sans-serif" w:hAnsi="Montserrat;sans-serif"/>
                  <w:color w:val="0000FF"/>
                  <w:sz w:val="18"/>
                  <w:u w:val="single"/>
                </w:rPr>
                <w:t>Legal Proceedings</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23</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1A.</w:t>
            </w:r>
          </w:p>
        </w:tc>
        <w:tc>
          <w:tcPr>
            <w:tcW w:w="799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Montserrat;sans-serif" w:hAnsi="Montserrat;sans-serif"/>
                  <w:color w:val="0000FF"/>
                  <w:sz w:val="18"/>
                  <w:u w:val="single"/>
                </w:rPr>
                <w:t>Risk Factors</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23</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2.</w:t>
            </w:r>
          </w:p>
        </w:tc>
        <w:tc>
          <w:tcPr>
            <w:tcW w:w="799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Montserrat;sans-serif" w:hAnsi="Montserrat;sans-serif"/>
                  <w:color w:val="0000FF"/>
                  <w:sz w:val="18"/>
                  <w:u w:val="single"/>
                </w:rPr>
                <w:t>Unregistered Sales of Equity Securities and Use of Proceeds</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67</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3.</w:t>
            </w:r>
          </w:p>
        </w:tc>
        <w:tc>
          <w:tcPr>
            <w:tcW w:w="799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Montserrat;sans-serif" w:hAnsi="Montserrat;sans-serif"/>
                  <w:color w:val="0000FF"/>
                  <w:sz w:val="18"/>
                  <w:u w:val="single"/>
                </w:rPr>
                <w:t>Defaults Upon Senior Securities</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67</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4.</w:t>
            </w:r>
          </w:p>
        </w:tc>
        <w:tc>
          <w:tcPr>
            <w:tcW w:w="799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Montserrat;sans-serif" w:hAnsi="Montserrat;sans-serif"/>
                  <w:color w:val="0000FF"/>
                  <w:sz w:val="18"/>
                  <w:u w:val="single"/>
                </w:rPr>
                <w:t>Mine Safety Disclosures</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67</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5.</w:t>
            </w:r>
          </w:p>
        </w:tc>
        <w:tc>
          <w:tcPr>
            <w:tcW w:w="799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Montserrat;sans-serif" w:hAnsi="Montserrat;sans-serif"/>
                  <w:color w:val="0000FF"/>
                  <w:sz w:val="18"/>
                  <w:u w:val="single"/>
                </w:rPr>
                <w:t>Other Information</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67</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6.</w:t>
            </w:r>
          </w:p>
        </w:tc>
        <w:tc>
          <w:tcPr>
            <w:tcW w:w="799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Montserrat;sans-serif" w:hAnsi="Montserrat;sans-serif"/>
                  <w:color w:val="0000FF"/>
                  <w:sz w:val="18"/>
                  <w:u w:val="single"/>
                </w:rPr>
                <w:t>Exhibits</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68</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Montserrat;sans-serif" w:hAnsi="Montserrat;sans-serif"/>
                  <w:color w:val="0000FF"/>
                  <w:sz w:val="18"/>
                  <w:u w:val="single"/>
                </w:rPr>
                <w:t>Signatures</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69</w:t>
            </w:r>
          </w:p>
        </w:tc>
      </w:tr>
    </w:tbl>
    <w:p>
      <w:pPr>
        <w:pStyle w:val="TextBody"/>
        <w:bidi w:val="0"/>
        <w:jc w:val="left"/>
        <w:rPr/>
      </w:pPr>
      <w:r>
        <w:rPr/>
        <w:t>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Montserrat;sans-serif" w:hAnsi="Montserrat;sans-serif"/>
          <w:b/>
          <w:color w:val="000000"/>
          <w:sz w:val="18"/>
        </w:rPr>
      </w:pPr>
      <w:bookmarkStart w:id="2" w:name="part_ifinancial_information"/>
      <w:bookmarkEnd w:id="2"/>
      <w:r>
        <w:rPr>
          <w:rFonts w:ascii="Montserrat;sans-serif" w:hAnsi="Montserrat;sans-serif"/>
          <w:b/>
          <w:color w:val="000000"/>
          <w:sz w:val="18"/>
        </w:rPr>
        <w:t>PART I — FINANCIAL INFORMATION</w:t>
      </w:r>
    </w:p>
    <w:p>
      <w:pPr>
        <w:pStyle w:val="TextBody"/>
        <w:bidi w:val="0"/>
        <w:spacing w:before="240" w:after="283"/>
        <w:jc w:val="left"/>
        <w:rPr>
          <w:rFonts w:ascii="Montserrat;sans-serif" w:hAnsi="Montserrat;sans-serif"/>
          <w:b/>
          <w:color w:val="000000"/>
          <w:sz w:val="18"/>
        </w:rPr>
      </w:pPr>
      <w:bookmarkStart w:id="3" w:name="item_1_financial_statements"/>
      <w:bookmarkEnd w:id="3"/>
      <w:r>
        <w:rPr>
          <w:rFonts w:ascii="Montserrat;sans-serif" w:hAnsi="Montserrat;sans-serif"/>
          <w:b/>
          <w:color w:val="000000"/>
          <w:sz w:val="18"/>
        </w:rPr>
        <w:t>Item 1. Financial Statements (Unaudited).</w:t>
      </w:r>
    </w:p>
    <w:p>
      <w:pPr>
        <w:pStyle w:val="TextBody"/>
        <w:bidi w:val="0"/>
        <w:spacing w:before="240" w:after="283"/>
        <w:jc w:val="center"/>
        <w:rPr>
          <w:rFonts w:ascii="Montserrat;sans-serif" w:hAnsi="Montserrat;sans-serif"/>
          <w:b/>
          <w:color w:val="000000"/>
          <w:sz w:val="18"/>
        </w:rPr>
      </w:pPr>
      <w:r>
        <w:rPr>
          <w:rFonts w:ascii="Montserrat;sans-serif" w:hAnsi="Montserrat;sans-serif"/>
          <w:b/>
          <w:color w:val="000000"/>
          <w:sz w:val="18"/>
        </w:rPr>
        <w:t>Kodiak Sciences Inc.</w:t>
      </w:r>
    </w:p>
    <w:p>
      <w:pPr>
        <w:pStyle w:val="TextBody"/>
        <w:bidi w:val="0"/>
        <w:jc w:val="center"/>
        <w:rPr>
          <w:rFonts w:ascii="Montserrat;sans-serif" w:hAnsi="Montserrat;sans-serif"/>
          <w:b/>
          <w:color w:val="000000"/>
          <w:sz w:val="18"/>
        </w:rPr>
      </w:pPr>
      <w:bookmarkStart w:id="4" w:name="condensed_consolidated_balance_sheets"/>
      <w:bookmarkEnd w:id="4"/>
      <w:r>
        <w:rPr>
          <w:rFonts w:ascii="Montserrat;sans-serif" w:hAnsi="Montserrat;sans-serif"/>
          <w:b/>
          <w:color w:val="000000"/>
          <w:sz w:val="18"/>
        </w:rPr>
        <w:t>Condensed Consolidated Balance Sheets (unaudited)</w:t>
      </w:r>
    </w:p>
    <w:p>
      <w:pPr>
        <w:pStyle w:val="TextBody"/>
        <w:bidi w:val="0"/>
        <w:jc w:val="center"/>
        <w:rPr>
          <w:rFonts w:ascii="Montserrat;sans-serif" w:hAnsi="Montserrat;sans-serif"/>
          <w:color w:val="000000"/>
          <w:sz w:val="18"/>
        </w:rPr>
      </w:pPr>
      <w:r>
        <w:rPr>
          <w:rFonts w:ascii="Montserrat;sans-serif" w:hAnsi="Montserrat;sans-serif"/>
          <w:color w:val="000000"/>
          <w:sz w:val="18"/>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46"/>
        <w:gridCol w:w="146"/>
        <w:gridCol w:w="226"/>
        <w:gridCol w:w="1141"/>
        <w:gridCol w:w="181"/>
        <w:gridCol w:w="146"/>
        <w:gridCol w:w="246"/>
        <w:gridCol w:w="1246"/>
        <w:gridCol w:w="627"/>
      </w:tblGrid>
      <w:tr>
        <w:trPr/>
        <w:tc>
          <w:tcPr>
            <w:tcW w:w="6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June 30,</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December 31,</w:t>
              <w:br/>
              <w:t>2025</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000000"/>
                <w:sz w:val="18"/>
              </w:rPr>
            </w:pPr>
            <w:r>
              <w:rPr>
                <w:rFonts w:ascii="Montserrat;sans-serif" w:hAnsi="Montserrat;sans-serif"/>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125,903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209,862</w:t>
            </w:r>
          </w:p>
        </w:tc>
        <w:tc>
          <w:tcPr>
            <w:tcW w:w="6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5,455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4,954</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131,358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214,816</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6,184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6,184</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78,308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85,258</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32,299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36,606</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8,662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8,669</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256,811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351,533</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000000"/>
                <w:sz w:val="18"/>
              </w:rPr>
            </w:pPr>
            <w:r>
              <w:rPr>
                <w:rFonts w:ascii="Montserrat;sans-serif" w:hAnsi="Montserrat;sans-serif"/>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12,639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12,863</w:t>
            </w:r>
          </w:p>
        </w:tc>
        <w:tc>
          <w:tcPr>
            <w:tcW w:w="6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30,320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20,607</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9,811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12,063</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52,770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45,533</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Long-term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42,945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47,117</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Liability related to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100,000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100,000</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Long-term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1,500</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195,715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194,150</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Commitments and contingencies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Montserrat;sans-serif" w:hAnsi="Montserrat;sans-serif"/>
                <w:color w:val="000000"/>
                <w:sz w:val="18"/>
              </w:rPr>
              <w:t>Preferred stock, $0.0001</w:t>
            </w:r>
            <w:r>
              <w:rPr>
                <w:rFonts w:ascii="Times New Roman" w:hAnsi="Times New Roman"/>
                <w:color w:val="000000"/>
                <w:sz w:val="20"/>
              </w:rPr>
              <w:t> </w:t>
            </w:r>
            <w:r>
              <w:rPr>
                <w:rFonts w:ascii="Montserrat;sans-serif" w:hAnsi="Montserrat;sans-serif"/>
                <w:color w:val="000000"/>
                <w:sz w:val="18"/>
              </w:rPr>
              <w:t>par value – 10,000,000</w:t>
            </w:r>
            <w:r>
              <w:rPr>
                <w:rFonts w:ascii="Times New Roman" w:hAnsi="Times New Roman"/>
                <w:color w:val="000000"/>
                <w:sz w:val="20"/>
              </w:rPr>
              <w:t> </w:t>
            </w:r>
            <w:r>
              <w:rPr>
                <w:rFonts w:ascii="Montserrat;sans-serif" w:hAnsi="Montserrat;sans-serif"/>
                <w:color w:val="000000"/>
                <w:sz w:val="18"/>
              </w:rPr>
              <w:t>shares authorized;</w:t>
              <w:br/>
              <w:t>none</w:t>
            </w:r>
            <w:r>
              <w:rPr>
                <w:rFonts w:ascii="Times New Roman" w:hAnsi="Times New Roman"/>
                <w:color w:val="000000"/>
                <w:sz w:val="20"/>
              </w:rPr>
              <w:t> </w:t>
            </w:r>
            <w:r>
              <w:rPr>
                <w:rFonts w:ascii="Montserrat;sans-serif" w:hAnsi="Montserrat;sans-serif"/>
                <w:color w:val="000000"/>
                <w:sz w:val="18"/>
              </w:rPr>
              <w:t>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Montserrat;sans-serif" w:hAnsi="Montserrat;sans-serif"/>
                <w:color w:val="000000"/>
                <w:sz w:val="18"/>
              </w:rPr>
              <w:t>Common stock, $0.0001</w:t>
            </w:r>
            <w:r>
              <w:rPr>
                <w:rFonts w:ascii="Times New Roman" w:hAnsi="Times New Roman"/>
                <w:color w:val="000000"/>
                <w:sz w:val="20"/>
              </w:rPr>
              <w:t> </w:t>
            </w:r>
            <w:r>
              <w:rPr>
                <w:rFonts w:ascii="Montserrat;sans-serif" w:hAnsi="Montserrat;sans-serif"/>
                <w:color w:val="000000"/>
                <w:sz w:val="18"/>
              </w:rPr>
              <w:t>par value – 490,000,000</w:t>
            </w:r>
            <w:r>
              <w:rPr>
                <w:rFonts w:ascii="Times New Roman" w:hAnsi="Times New Roman"/>
                <w:color w:val="000000"/>
                <w:sz w:val="20"/>
              </w:rPr>
              <w:t> </w:t>
            </w:r>
            <w:r>
              <w:rPr>
                <w:rFonts w:ascii="Montserrat;sans-serif" w:hAnsi="Montserrat;sans-serif"/>
                <w:color w:val="000000"/>
                <w:sz w:val="18"/>
              </w:rPr>
              <w:t>shares authorized;</w:t>
              <w:br/>
              <w:t>62,830,860</w:t>
            </w:r>
            <w:r>
              <w:rPr>
                <w:rFonts w:ascii="Times New Roman" w:hAnsi="Times New Roman"/>
                <w:color w:val="000000"/>
                <w:sz w:val="20"/>
              </w:rPr>
              <w:t> </w:t>
            </w:r>
            <w:r>
              <w:rPr>
                <w:rFonts w:ascii="Montserrat;sans-serif" w:hAnsi="Montserrat;sans-serif"/>
                <w:color w:val="000000"/>
                <w:sz w:val="18"/>
              </w:rPr>
              <w:t>and 61,758,454</w:t>
            </w:r>
            <w:r>
              <w:rPr>
                <w:rFonts w:ascii="Times New Roman" w:hAnsi="Times New Roman"/>
                <w:color w:val="000000"/>
                <w:sz w:val="20"/>
              </w:rPr>
              <w:t> </w:t>
            </w:r>
            <w:r>
              <w:rPr>
                <w:rFonts w:ascii="Montserrat;sans-serif" w:hAnsi="Montserrat;sans-serif"/>
                <w:color w:val="000000"/>
                <w:sz w:val="18"/>
              </w:rPr>
              <w:t>shares issued and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1,743,596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1,716,082</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(1,682,506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(1,558,705</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61,096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157,383</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256,811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351,533</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Montserrat;sans-serif" w:hAnsi="Montserrat;sans-serif"/>
          <w:color w:val="000000"/>
          <w:sz w:val="18"/>
        </w:rPr>
      </w:pPr>
      <w:r>
        <w:rPr>
          <w:rFonts w:ascii="Montserrat;sans-serif" w:hAnsi="Montserrat;sans-serif"/>
          <w:color w:val="000000"/>
          <w:sz w:val="18"/>
        </w:rPr>
        <w:t>See notes to unaudited condensed consolidated financial statements.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Kodiak Sciences Inc.</w:t>
      </w:r>
    </w:p>
    <w:p>
      <w:pPr>
        <w:pStyle w:val="TextBody"/>
        <w:bidi w:val="0"/>
        <w:jc w:val="center"/>
        <w:rPr>
          <w:rFonts w:ascii="Montserrat;sans-serif" w:hAnsi="Montserrat;sans-serif"/>
          <w:b/>
          <w:color w:val="000000"/>
          <w:sz w:val="18"/>
        </w:rPr>
      </w:pPr>
      <w:bookmarkStart w:id="5" w:name="condensed_consolidated_statements_operat"/>
      <w:bookmarkEnd w:id="5"/>
      <w:r>
        <w:rPr>
          <w:rFonts w:ascii="Montserrat;sans-serif" w:hAnsi="Montserrat;sans-serif"/>
          <w:b/>
          <w:color w:val="000000"/>
          <w:sz w:val="18"/>
        </w:rPr>
        <w:t>Condensed Consolidated Statements of Operations and Comprehensive Loss (unaudited)</w:t>
      </w:r>
    </w:p>
    <w:p>
      <w:pPr>
        <w:pStyle w:val="TextBody"/>
        <w:bidi w:val="0"/>
        <w:jc w:val="center"/>
        <w:rPr>
          <w:rFonts w:ascii="Montserrat;sans-serif" w:hAnsi="Montserrat;sans-serif"/>
          <w:color w:val="000000"/>
          <w:sz w:val="18"/>
        </w:rPr>
      </w:pPr>
      <w:r>
        <w:rPr>
          <w:rFonts w:ascii="Montserrat;sans-serif" w:hAnsi="Montserrat;sans-serif"/>
          <w:color w:val="000000"/>
          <w:sz w:val="18"/>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39"/>
        <w:gridCol w:w="146"/>
        <w:gridCol w:w="226"/>
        <w:gridCol w:w="1186"/>
        <w:gridCol w:w="181"/>
        <w:gridCol w:w="146"/>
        <w:gridCol w:w="226"/>
        <w:gridCol w:w="1186"/>
        <w:gridCol w:w="181"/>
        <w:gridCol w:w="146"/>
        <w:gridCol w:w="226"/>
        <w:gridCol w:w="1186"/>
        <w:gridCol w:w="181"/>
        <w:gridCol w:w="146"/>
        <w:gridCol w:w="226"/>
        <w:gridCol w:w="1186"/>
        <w:gridCol w:w="591"/>
      </w:tblGrid>
      <w:tr>
        <w:trPr/>
        <w:tc>
          <w:tcPr>
            <w:tcW w:w="2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56,083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42,760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104,630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86,404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10,755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12,750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21,985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28,179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66,838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55,510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126,615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114,583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(66,838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(55,510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(126,615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(114,583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2,896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2,843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(65,643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(54,313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(123,801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(111,774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(1.99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62,628,596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52,779,162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62,246,165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52,762,831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Montserrat;sans-serif" w:hAnsi="Montserrat;sans-serif"/>
          <w:color w:val="000000"/>
          <w:sz w:val="18"/>
        </w:rPr>
      </w:pPr>
      <w:r>
        <w:rPr>
          <w:rFonts w:ascii="Montserrat;sans-serif" w:hAnsi="Montserrat;sans-serif"/>
          <w:color w:val="000000"/>
          <w:sz w:val="18"/>
        </w:rPr>
        <w:t>See notes to unaudited condensed consolidated financial statements.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Kodiak Sciences Inc.</w:t>
      </w:r>
    </w:p>
    <w:p>
      <w:pPr>
        <w:pStyle w:val="TextBody"/>
        <w:bidi w:val="0"/>
        <w:jc w:val="center"/>
        <w:rPr>
          <w:rFonts w:ascii="Montserrat;sans-serif" w:hAnsi="Montserrat;sans-serif"/>
          <w:b/>
          <w:color w:val="000000"/>
          <w:sz w:val="18"/>
        </w:rPr>
      </w:pPr>
      <w:bookmarkStart w:id="6" w:name="condensed_consolidated_statements_stockh"/>
      <w:bookmarkEnd w:id="6"/>
      <w:r>
        <w:rPr>
          <w:rFonts w:ascii="Montserrat;sans-serif" w:hAnsi="Montserrat;sans-serif"/>
          <w:b/>
          <w:color w:val="000000"/>
          <w:sz w:val="18"/>
        </w:rPr>
        <w:t>Condensed Consolidated Statements of Stockholders’ Equity (unaudited)</w:t>
      </w:r>
    </w:p>
    <w:p>
      <w:pPr>
        <w:pStyle w:val="TextBody"/>
        <w:bidi w:val="0"/>
        <w:jc w:val="center"/>
        <w:rPr>
          <w:rFonts w:ascii="Montserrat;sans-serif" w:hAnsi="Montserrat;sans-serif"/>
          <w:color w:val="000000"/>
          <w:sz w:val="18"/>
        </w:rPr>
      </w:pPr>
      <w:r>
        <w:rPr>
          <w:rFonts w:ascii="Montserrat;sans-serif" w:hAnsi="Montserrat;sans-serif"/>
          <w:color w:val="000000"/>
          <w:sz w:val="18"/>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06"/>
        <w:gridCol w:w="146"/>
        <w:gridCol w:w="146"/>
        <w:gridCol w:w="1036"/>
        <w:gridCol w:w="146"/>
        <w:gridCol w:w="146"/>
        <w:gridCol w:w="318"/>
        <w:gridCol w:w="523"/>
        <w:gridCol w:w="146"/>
        <w:gridCol w:w="146"/>
        <w:gridCol w:w="211"/>
        <w:gridCol w:w="931"/>
        <w:gridCol w:w="146"/>
        <w:gridCol w:w="146"/>
        <w:gridCol w:w="231"/>
        <w:gridCol w:w="1090"/>
        <w:gridCol w:w="166"/>
        <w:gridCol w:w="146"/>
        <w:gridCol w:w="294"/>
        <w:gridCol w:w="1092"/>
        <w:gridCol w:w="393"/>
      </w:tblGrid>
      <w:tr>
        <w:trPr/>
        <w:tc>
          <w:tcPr>
            <w:tcW w:w="2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Total</w:t>
              <w:br/>
              <w:t>Stockholders’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61,758,454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1,716,082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(1,558,705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157,383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392,362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721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4,869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12,155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12,155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(58,158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(58,158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Balances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62,155,685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1,728,958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(1,616,863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112,101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620,303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2,924</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Restricted stock units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20,325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Proceeds from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34,547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106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11,608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11,608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(65,643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(65,643</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Balances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62,830,860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1,743,596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(1,682,506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61,096</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Total</w:t>
              <w:br/>
              <w:t>Stockholders’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52,726,916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1,479,021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(1,328,738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150,288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21,427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124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3,532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15,891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15,891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(57,461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(57,461</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52,751,875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1,495,036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(1,386,199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108,842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15,320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38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Restricted stock units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26,061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Proceeds from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28,433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82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15,641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15,641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(54,313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(54,313</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52,821,689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1,510,797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(1,440,512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70,290</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Montserrat;sans-serif" w:hAnsi="Montserrat;sans-serif"/>
          <w:color w:val="000000"/>
          <w:sz w:val="18"/>
        </w:rPr>
      </w:pPr>
      <w:r>
        <w:rPr>
          <w:rFonts w:ascii="Montserrat;sans-serif" w:hAnsi="Montserrat;sans-serif"/>
          <w:color w:val="000000"/>
          <w:sz w:val="18"/>
        </w:rPr>
        <w:t>See notes to unaudited condensed consolidated financial statements.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Kodiak Sciences Inc.</w:t>
      </w:r>
    </w:p>
    <w:p>
      <w:pPr>
        <w:pStyle w:val="TextBody"/>
        <w:bidi w:val="0"/>
        <w:jc w:val="center"/>
        <w:rPr>
          <w:rFonts w:ascii="Montserrat;sans-serif" w:hAnsi="Montserrat;sans-serif"/>
          <w:b/>
          <w:color w:val="000000"/>
          <w:sz w:val="18"/>
        </w:rPr>
      </w:pPr>
      <w:bookmarkStart w:id="7" w:name="condensed_consolidated_statements_cash_f"/>
      <w:bookmarkEnd w:id="7"/>
      <w:r>
        <w:rPr>
          <w:rFonts w:ascii="Montserrat;sans-serif" w:hAnsi="Montserrat;sans-serif"/>
          <w:b/>
          <w:color w:val="000000"/>
          <w:sz w:val="18"/>
        </w:rPr>
        <w:t>Condensed Consolidated Statements of Cash Flows (unaudited)</w:t>
      </w:r>
    </w:p>
    <w:p>
      <w:pPr>
        <w:pStyle w:val="TextBody"/>
        <w:bidi w:val="0"/>
        <w:jc w:val="center"/>
        <w:rPr>
          <w:rFonts w:ascii="Montserrat;sans-serif" w:hAnsi="Montserrat;sans-serif"/>
          <w:color w:val="000000"/>
          <w:sz w:val="18"/>
        </w:rPr>
      </w:pPr>
      <w:r>
        <w:rPr>
          <w:rFonts w:ascii="Montserrat;sans-serif" w:hAnsi="Montserrat;sans-serif"/>
          <w:color w:val="000000"/>
          <w:sz w:val="18"/>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859"/>
        <w:gridCol w:w="746"/>
        <w:gridCol w:w="231"/>
        <w:gridCol w:w="986"/>
        <w:gridCol w:w="185"/>
        <w:gridCol w:w="149"/>
        <w:gridCol w:w="231"/>
        <w:gridCol w:w="986"/>
        <w:gridCol w:w="832"/>
      </w:tblGrid>
      <w:tr>
        <w:trPr/>
        <w:tc>
          <w:tcPr>
            <w:tcW w:w="585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Six Months Ended June 30,</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9"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000000"/>
                <w:sz w:val="18"/>
              </w:rPr>
            </w:pPr>
            <w:r>
              <w:rPr>
                <w:rFonts w:ascii="Montserrat;sans-serif" w:hAnsi="Montserrat;sans-serif"/>
                <w:b/>
                <w:color w:val="000000"/>
                <w:sz w:val="18"/>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(123,801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(111,774</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5859"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Adjustments to reconcile net loss to 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Depreciation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8,221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9,197</w:t>
            </w:r>
          </w:p>
        </w:tc>
        <w:tc>
          <w:tcPr>
            <w:tcW w:w="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Stock-based compensation</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23,763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31,532</w:t>
            </w:r>
          </w:p>
        </w:tc>
        <w:tc>
          <w:tcPr>
            <w:tcW w:w="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Loss on disposal of long-lived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w:t>
            </w:r>
          </w:p>
        </w:tc>
        <w:tc>
          <w:tcPr>
            <w:tcW w:w="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Non-cash lease impairment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1,910</w:t>
            </w:r>
          </w:p>
        </w:tc>
        <w:tc>
          <w:tcPr>
            <w:tcW w:w="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Amortization of operating lease right-of-use asset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4,307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4,069</w:t>
            </w:r>
          </w:p>
        </w:tc>
        <w:tc>
          <w:tcPr>
            <w:tcW w:w="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Changes in assets and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Prepaid expenses and other current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(635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108</w:t>
            </w:r>
          </w:p>
        </w:tc>
        <w:tc>
          <w:tcPr>
            <w:tcW w:w="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Other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68</w:t>
            </w:r>
          </w:p>
        </w:tc>
        <w:tc>
          <w:tcPr>
            <w:tcW w:w="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Accounts payable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249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1,129</w:t>
            </w:r>
          </w:p>
        </w:tc>
        <w:tc>
          <w:tcPr>
            <w:tcW w:w="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Accrued and other current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8,066</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3,636</w:t>
            </w:r>
          </w:p>
        </w:tc>
        <w:tc>
          <w:tcPr>
            <w:tcW w:w="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Operating lease liability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(6,424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(5,133</w:t>
            </w:r>
          </w:p>
        </w:tc>
        <w:tc>
          <w:tcPr>
            <w:tcW w:w="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w:t>
            </w:r>
          </w:p>
        </w:tc>
      </w:tr>
      <w:tr>
        <w:trPr/>
        <w:tc>
          <w:tcPr>
            <w:tcW w:w="58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Long-term deposit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1,500</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Montserrat;sans-serif" w:hAnsi="Montserrat;sans-serif"/>
                <w:color w:val="000000"/>
                <w:sz w:val="18"/>
              </w:rPr>
            </w:pPr>
            <w:r>
              <w:rPr>
                <w:rFonts w:ascii="Montserrat;sans-serif" w:hAnsi="Montserrat;sans-serif"/>
                <w:color w:val="000000"/>
                <w:sz w:val="18"/>
              </w:rPr>
              <w:t>Net cash used in operating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(86,247</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(63,750</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5859"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000000"/>
                <w:sz w:val="18"/>
              </w:rPr>
            </w:pPr>
            <w:r>
              <w:rPr>
                <w:rFonts w:ascii="Montserrat;sans-serif" w:hAnsi="Montserrat;sans-serif"/>
                <w:b/>
                <w:color w:val="000000"/>
                <w:sz w:val="18"/>
              </w:rPr>
              <w:t>Cash flows from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Purchase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(1,294</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(403</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Montserrat;sans-serif" w:hAnsi="Montserrat;sans-serif"/>
                <w:color w:val="000000"/>
                <w:sz w:val="18"/>
              </w:rPr>
            </w:pPr>
            <w:r>
              <w:rPr>
                <w:rFonts w:ascii="Montserrat;sans-serif" w:hAnsi="Montserrat;sans-serif"/>
                <w:color w:val="000000"/>
                <w:sz w:val="18"/>
              </w:rPr>
              <w:t>)</w:t>
            </w:r>
          </w:p>
        </w:tc>
      </w:tr>
      <w:tr>
        <w:trPr/>
        <w:tc>
          <w:tcPr>
            <w:tcW w:w="585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Montserrat;sans-serif" w:hAnsi="Montserrat;sans-serif"/>
                <w:color w:val="000000"/>
                <w:sz w:val="18"/>
              </w:rPr>
            </w:pPr>
            <w:r>
              <w:rPr>
                <w:rFonts w:ascii="Montserrat;sans-serif" w:hAnsi="Montserrat;sans-serif"/>
                <w:color w:val="000000"/>
                <w:sz w:val="18"/>
              </w:rPr>
              <w:t>Net cash used in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(1,294</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(403</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000000"/>
                <w:sz w:val="18"/>
              </w:rPr>
            </w:pPr>
            <w:r>
              <w:rPr>
                <w:rFonts w:ascii="Montserrat;sans-serif" w:hAnsi="Montserrat;sans-serif"/>
                <w:b/>
                <w:color w:val="000000"/>
                <w:sz w:val="18"/>
              </w:rPr>
              <w:t>Cash flows from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9"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Payment of public offering costs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(303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Proceeds from stock option exercises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3,779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162</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9"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Proceeds from issuance of common stock pursuant to ESPP</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106</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82</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Montserrat;sans-serif" w:hAnsi="Montserrat;sans-serif"/>
                <w:color w:val="000000"/>
                <w:sz w:val="18"/>
              </w:rPr>
            </w:pPr>
            <w:r>
              <w:rPr>
                <w:rFonts w:ascii="Montserrat;sans-serif" w:hAnsi="Montserrat;sans-serif"/>
                <w:color w:val="000000"/>
                <w:sz w:val="18"/>
              </w:rPr>
              <w:t>Net cash provided by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3,582</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244</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9"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Net decrease in cash, cash equivalents and restricted cash</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(83,959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(63,909</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Cash, cash equivalents and restricted cash, at beginning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216,046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174,258</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9"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Cash, cash equivalents and restricted cash, at end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132,087</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110,349</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000000"/>
                <w:sz w:val="18"/>
              </w:rPr>
            </w:pPr>
            <w:r>
              <w:rPr>
                <w:rFonts w:ascii="Montserrat;sans-serif" w:hAnsi="Montserrat;sans-serif"/>
                <w:b/>
                <w:color w:val="000000"/>
                <w:sz w:val="18"/>
              </w:rPr>
              <w:t>Reconciliation of cash, cash equivalents and restricted cash to consolidated balance sheets: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9"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Cash and cash equivalents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125,903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104,165</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Restricted cash</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6,184</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6,184</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9"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000000"/>
                <w:sz w:val="18"/>
              </w:rPr>
            </w:pPr>
            <w:r>
              <w:rPr>
                <w:rFonts w:ascii="Montserrat;sans-serif" w:hAnsi="Montserrat;sans-serif"/>
                <w:b/>
                <w:color w:val="000000"/>
                <w:sz w:val="18"/>
              </w:rPr>
              <w:t>Total cash, cash equivalents and restricted cash in consolidated balance sheets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132,087</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110,349</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000000"/>
                <w:sz w:val="18"/>
              </w:rPr>
            </w:pPr>
            <w:r>
              <w:rPr>
                <w:rFonts w:ascii="Montserrat;sans-serif" w:hAnsi="Montserrat;sans-serif"/>
                <w:b/>
                <w:color w:val="000000"/>
                <w:sz w:val="18"/>
              </w:rPr>
              <w:t>Supplemental disclosures of non-cash investing and financing information:</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9"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Purchase of property and equipment under accounts payable and accruals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855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13</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Montserrat;sans-serif" w:hAnsi="Montserrat;sans-serif"/>
          <w:color w:val="000000"/>
          <w:sz w:val="18"/>
        </w:rPr>
      </w:pPr>
      <w:r>
        <w:rPr>
          <w:rFonts w:ascii="Montserrat;sans-serif" w:hAnsi="Montserrat;sans-serif"/>
          <w:color w:val="000000"/>
          <w:sz w:val="18"/>
        </w:rPr>
        <w:t>See notes to unaudited condensed consolidated financial statements.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Montserrat;sans-serif" w:hAnsi="Montserrat;sans-serif"/>
          <w:b/>
          <w:color w:val="000000"/>
          <w:sz w:val="18"/>
        </w:rPr>
      </w:pPr>
      <w:bookmarkStart w:id="8" w:name="notes_to_financial_statements"/>
      <w:bookmarkEnd w:id="8"/>
      <w:r>
        <w:rPr>
          <w:rFonts w:ascii="Montserrat;sans-serif" w:hAnsi="Montserrat;sans-serif"/>
          <w:b/>
          <w:color w:val="000000"/>
          <w:sz w:val="18"/>
        </w:rPr>
        <w:t>Kodiak Sciences Inc.</w:t>
      </w:r>
    </w:p>
    <w:p>
      <w:pPr>
        <w:pStyle w:val="TextBody"/>
        <w:bidi w:val="0"/>
        <w:jc w:val="center"/>
        <w:rPr>
          <w:rFonts w:ascii="Montserrat;sans-serif" w:hAnsi="Montserrat;sans-serif"/>
          <w:b/>
          <w:color w:val="000000"/>
          <w:sz w:val="18"/>
        </w:rPr>
      </w:pPr>
      <w:r>
        <w:rPr>
          <w:rFonts w:ascii="Montserrat;sans-serif" w:hAnsi="Montserrat;sans-serif"/>
          <w:b/>
          <w:color w:val="000000"/>
          <w:sz w:val="18"/>
        </w:rPr>
        <w:t>Index For Notes to Unaudited Condensed Consolidated Financial Statements</w:t>
      </w:r>
    </w:p>
    <w:p>
      <w:pPr>
        <w:pStyle w:val="TextBody"/>
        <w:bidi w:val="0"/>
        <w:jc w:val="left"/>
        <w:rPr/>
      </w:pPr>
      <w:r>
        <w:rPr/>
        <w:t> </w:t>
      </w:r>
    </w:p>
    <w:tbl>
      <w:tblPr>
        <w:tblW w:w="5493" w:type="dxa"/>
        <w:jc w:val="left"/>
        <w:tblInd w:w="0" w:type="dxa"/>
        <w:tblLayout w:type="fixed"/>
        <w:tblCellMar>
          <w:top w:w="28" w:type="dxa"/>
          <w:left w:w="28" w:type="dxa"/>
          <w:bottom w:w="28" w:type="dxa"/>
          <w:right w:w="28" w:type="dxa"/>
        </w:tblCellMar>
      </w:tblPr>
      <w:tblGrid>
        <w:gridCol w:w="781"/>
        <w:gridCol w:w="4051"/>
        <w:gridCol w:w="661"/>
      </w:tblGrid>
      <w:tr>
        <w:trPr/>
        <w:tc>
          <w:tcPr>
            <w:tcW w:w="781"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Page</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Note 1.</w:t>
            </w:r>
          </w:p>
        </w:tc>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note1_thecompany">
              <w:r>
                <w:rPr>
                  <w:rStyle w:val="InternetLink"/>
                  <w:rFonts w:ascii="Montserrat;sans-serif" w:hAnsi="Montserrat;sans-serif"/>
                  <w:color w:val="0000FF"/>
                  <w:sz w:val="18"/>
                  <w:u w:val="single"/>
                </w:rPr>
                <w:t>The Company</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6</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Note 2.</w:t>
            </w:r>
          </w:p>
        </w:tc>
        <w:tc>
          <w:tcPr>
            <w:tcW w:w="4051" w:type="dxa"/>
            <w:tcBorders/>
            <w:tcMar>
              <w:top w:w="0" w:type="dxa"/>
              <w:left w:w="0" w:type="dxa"/>
              <w:bottom w:w="0" w:type="dxa"/>
              <w:right w:w="0" w:type="dxa"/>
            </w:tcMar>
            <w:vAlign w:val="center"/>
          </w:tcPr>
          <w:p>
            <w:pPr>
              <w:pStyle w:val="TableContents"/>
              <w:bidi w:val="0"/>
              <w:spacing w:before="0" w:after="283"/>
              <w:jc w:val="left"/>
              <w:rPr/>
            </w:pPr>
            <w:hyperlink w:anchor="fn2_sosap">
              <w:r>
                <w:rPr>
                  <w:rStyle w:val="InternetLink"/>
                  <w:rFonts w:ascii="Montserrat;sans-serif" w:hAnsi="Montserrat;sans-serif"/>
                  <w:color w:val="0000FF"/>
                  <w:sz w:val="18"/>
                  <w:u w:val="single"/>
                </w:rPr>
                <w:t>Summary of Significant Accounting Policies</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6</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Note 3.</w:t>
            </w:r>
          </w:p>
        </w:tc>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fn3_accruedotherliab">
              <w:r>
                <w:rPr>
                  <w:rStyle w:val="InternetLink"/>
                  <w:rFonts w:ascii="Montserrat;sans-serif" w:hAnsi="Montserrat;sans-serif"/>
                  <w:color w:val="0000FF"/>
                  <w:sz w:val="18"/>
                  <w:u w:val="single"/>
                </w:rPr>
                <w:t>Accrued and Other Current Liabilities</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8</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Note 4.</w:t>
            </w:r>
          </w:p>
        </w:tc>
        <w:tc>
          <w:tcPr>
            <w:tcW w:w="4051" w:type="dxa"/>
            <w:tcBorders/>
            <w:tcMar>
              <w:top w:w="0" w:type="dxa"/>
              <w:left w:w="0" w:type="dxa"/>
              <w:bottom w:w="0" w:type="dxa"/>
              <w:right w:w="0" w:type="dxa"/>
            </w:tcMar>
            <w:vAlign w:val="center"/>
          </w:tcPr>
          <w:p>
            <w:pPr>
              <w:pStyle w:val="TableContents"/>
              <w:bidi w:val="0"/>
              <w:spacing w:before="0" w:after="283"/>
              <w:jc w:val="left"/>
              <w:rPr/>
            </w:pPr>
            <w:hyperlink w:anchor="fn4_fairvalue">
              <w:r>
                <w:rPr>
                  <w:rStyle w:val="InternetLink"/>
                  <w:rFonts w:ascii="Montserrat;sans-serif" w:hAnsi="Montserrat;sans-serif"/>
                  <w:color w:val="0000FF"/>
                  <w:sz w:val="18"/>
                  <w:u w:val="single"/>
                </w:rPr>
                <w:t>Fair Value Measurements</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8</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Note 5.</w:t>
            </w:r>
          </w:p>
        </w:tc>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fn5_commitmentscontingencies">
              <w:r>
                <w:rPr>
                  <w:rStyle w:val="InternetLink"/>
                  <w:rFonts w:ascii="Montserrat;sans-serif" w:hAnsi="Montserrat;sans-serif"/>
                  <w:color w:val="0000FF"/>
                  <w:sz w:val="18"/>
                  <w:u w:val="single"/>
                </w:rPr>
                <w:t>Commitments and Contingencies</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8</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Note 6.</w:t>
            </w:r>
          </w:p>
        </w:tc>
        <w:tc>
          <w:tcPr>
            <w:tcW w:w="4051" w:type="dxa"/>
            <w:tcBorders/>
            <w:tcMar>
              <w:top w:w="0" w:type="dxa"/>
              <w:left w:w="0" w:type="dxa"/>
              <w:bottom w:w="0" w:type="dxa"/>
              <w:right w:w="0" w:type="dxa"/>
            </w:tcMar>
            <w:vAlign w:val="center"/>
          </w:tcPr>
          <w:p>
            <w:pPr>
              <w:pStyle w:val="TableContents"/>
              <w:bidi w:val="0"/>
              <w:spacing w:before="0" w:after="283"/>
              <w:jc w:val="left"/>
              <w:rPr/>
            </w:pPr>
            <w:hyperlink w:anchor="fn6_sbc">
              <w:r>
                <w:rPr>
                  <w:rStyle w:val="InternetLink"/>
                  <w:rFonts w:ascii="Montserrat;sans-serif" w:hAnsi="Montserrat;sans-serif"/>
                  <w:color w:val="0000FF"/>
                  <w:sz w:val="18"/>
                  <w:u w:val="single"/>
                </w:rPr>
                <w:t>Stock-Based Compensation</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10</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Note 7.</w:t>
            </w:r>
          </w:p>
        </w:tc>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fn7_segments">
              <w:r>
                <w:rPr>
                  <w:rStyle w:val="InternetLink"/>
                  <w:rFonts w:ascii="Montserrat;sans-serif" w:hAnsi="Montserrat;sans-serif"/>
                  <w:color w:val="0000FF"/>
                  <w:sz w:val="18"/>
                  <w:u w:val="single"/>
                </w:rPr>
                <w:t>Segment Information</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11</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Note 8.</w:t>
            </w:r>
          </w:p>
        </w:tc>
        <w:tc>
          <w:tcPr>
            <w:tcW w:w="4051" w:type="dxa"/>
            <w:tcBorders/>
            <w:tcMar>
              <w:top w:w="0" w:type="dxa"/>
              <w:left w:w="0" w:type="dxa"/>
              <w:bottom w:w="0" w:type="dxa"/>
              <w:right w:w="0" w:type="dxa"/>
            </w:tcMar>
            <w:vAlign w:val="center"/>
          </w:tcPr>
          <w:p>
            <w:pPr>
              <w:pStyle w:val="TableContents"/>
              <w:bidi w:val="0"/>
              <w:spacing w:before="0" w:after="283"/>
              <w:jc w:val="left"/>
              <w:rPr/>
            </w:pPr>
            <w:hyperlink w:anchor="fn8_nlps">
              <w:r>
                <w:rPr>
                  <w:rStyle w:val="InternetLink"/>
                  <w:rFonts w:ascii="Montserrat;sans-serif" w:hAnsi="Montserrat;sans-serif"/>
                  <w:color w:val="0000FF"/>
                  <w:sz w:val="18"/>
                  <w:u w:val="single"/>
                </w:rPr>
                <w:t>Net Loss Per Common Share</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12</w:t>
            </w:r>
          </w:p>
        </w:tc>
      </w:tr>
    </w:tbl>
    <w:p>
      <w:pPr>
        <w:pStyle w:val="TextBody"/>
        <w:bidi w:val="0"/>
        <w:jc w:val="left"/>
        <w:rPr/>
      </w:pPr>
      <w:r>
        <w:rPr/>
        <w:t>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Kodiak Sciences Inc.</w:t>
      </w:r>
    </w:p>
    <w:p>
      <w:pPr>
        <w:pStyle w:val="TextBody"/>
        <w:bidi w:val="0"/>
        <w:jc w:val="center"/>
        <w:rPr>
          <w:rFonts w:ascii="Montserrat;sans-serif" w:hAnsi="Montserrat;sans-serif"/>
          <w:b/>
          <w:color w:val="000000"/>
          <w:sz w:val="18"/>
        </w:rPr>
      </w:pPr>
      <w:r>
        <w:rPr>
          <w:rFonts w:ascii="Montserrat;sans-serif" w:hAnsi="Montserrat;sans-serif"/>
          <w:b/>
          <w:color w:val="000000"/>
          <w:sz w:val="18"/>
        </w:rPr>
        <w:t>Notes to Unaudited Condensed Consolidated Financial Statements</w:t>
      </w:r>
    </w:p>
    <w:p>
      <w:pPr>
        <w:pStyle w:val="TextBody"/>
        <w:bidi w:val="0"/>
        <w:spacing w:before="240" w:after="283"/>
        <w:jc w:val="left"/>
        <w:rPr>
          <w:rFonts w:ascii="Times New Roman" w:hAnsi="Times New Roman"/>
          <w:sz w:val="20"/>
        </w:rPr>
      </w:pPr>
      <w:bookmarkStart w:id="9" w:name="note1_thecompany"/>
      <w:bookmarkEnd w:id="9"/>
      <w:r>
        <w:rPr>
          <w:rFonts w:ascii="Montserrat;sans-serif" w:hAnsi="Montserrat;sans-serif"/>
          <w:b/>
          <w:color w:val="000000"/>
          <w:sz w:val="18"/>
        </w:rPr>
        <w:t>1. The</w:t>
      </w:r>
      <w:r>
        <w:rPr>
          <w:rFonts w:ascii="Times New Roman" w:hAnsi="Times New Roman"/>
          <w:color w:val="000000"/>
          <w:sz w:val="20"/>
        </w:rPr>
        <w:t xml:space="preserve"> </w:t>
      </w:r>
      <w:r>
        <w:rPr>
          <w:rFonts w:ascii="Montserrat;sans-serif" w:hAnsi="Montserrat;sans-serif"/>
          <w:b/>
          <w:color w:val="000000"/>
          <w:sz w:val="18"/>
        </w:rPr>
        <w:t>Company</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Kodiak Sciences Inc. (the “Company”) is a precommercial retina focused biotechnology company committed to researching, developing and commercializing transformative therapeutics. The Company devotes substantially all of its resources to the research and development of its platform and product candidates including activities to conduct clinical studies of its product candidates, manufacture product candidates and provide general and administrative support for these operations.</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Liquidity</w:t>
      </w:r>
    </w:p>
    <w:p>
      <w:pPr>
        <w:pStyle w:val="TextBody"/>
        <w:bidi w:val="0"/>
        <w:spacing w:before="120" w:after="283"/>
        <w:jc w:val="left"/>
        <w:rPr>
          <w:rFonts w:ascii="Times New Roman" w:hAnsi="Times New Roman"/>
          <w:sz w:val="20"/>
        </w:rPr>
      </w:pPr>
      <w:r>
        <w:rPr>
          <w:rFonts w:ascii="Montserrat;sans-serif" w:hAnsi="Montserrat;sans-serif"/>
          <w:color w:val="000000"/>
          <w:sz w:val="18"/>
        </w:rPr>
        <w:t>As of June 30, 2026, the Company had cash and cash equivalents of $125.9</w:t>
      </w:r>
      <w:r>
        <w:rPr>
          <w:rFonts w:ascii="Times New Roman" w:hAnsi="Times New Roman"/>
          <w:color w:val="000000"/>
          <w:sz w:val="20"/>
        </w:rPr>
        <w:t xml:space="preserve"> </w:t>
      </w:r>
      <w:r>
        <w:rPr>
          <w:rFonts w:ascii="Montserrat;sans-serif" w:hAnsi="Montserrat;sans-serif"/>
          <w:color w:val="000000"/>
          <w:sz w:val="18"/>
        </w:rPr>
        <w:t>million. The Company has incurred net losses and negative cash flows from operations since inception. The Company incurred net losses of $123.8</w:t>
      </w:r>
      <w:r>
        <w:rPr>
          <w:rFonts w:ascii="Times New Roman" w:hAnsi="Times New Roman"/>
          <w:color w:val="000000"/>
          <w:sz w:val="20"/>
        </w:rPr>
        <w:t xml:space="preserve"> </w:t>
      </w:r>
      <w:r>
        <w:rPr>
          <w:rFonts w:ascii="Montserrat;sans-serif" w:hAnsi="Montserrat;sans-serif"/>
          <w:color w:val="000000"/>
          <w:sz w:val="18"/>
        </w:rPr>
        <w:t>million and $111.8</w:t>
      </w:r>
      <w:r>
        <w:rPr>
          <w:rFonts w:ascii="Times New Roman" w:hAnsi="Times New Roman"/>
          <w:color w:val="000000"/>
          <w:sz w:val="20"/>
        </w:rPr>
        <w:t xml:space="preserve"> </w:t>
      </w:r>
      <w:r>
        <w:rPr>
          <w:rFonts w:ascii="Montserrat;sans-serif" w:hAnsi="Montserrat;sans-serif"/>
          <w:color w:val="000000"/>
          <w:sz w:val="18"/>
        </w:rPr>
        <w:t>million for the six months ended June 30, 2026 and 2025, respectively. Net cash used in operating activities was $86.2</w:t>
      </w:r>
      <w:r>
        <w:rPr>
          <w:rFonts w:ascii="Times New Roman" w:hAnsi="Times New Roman"/>
          <w:color w:val="000000"/>
          <w:sz w:val="20"/>
        </w:rPr>
        <w:t xml:space="preserve"> </w:t>
      </w:r>
      <w:r>
        <w:rPr>
          <w:rFonts w:ascii="Montserrat;sans-serif" w:hAnsi="Montserrat;sans-serif"/>
          <w:color w:val="000000"/>
          <w:sz w:val="18"/>
        </w:rPr>
        <w:t>million and $63.8</w:t>
      </w:r>
      <w:r>
        <w:rPr>
          <w:rFonts w:ascii="Times New Roman" w:hAnsi="Times New Roman"/>
          <w:color w:val="000000"/>
          <w:sz w:val="20"/>
        </w:rPr>
        <w:t xml:space="preserve"> </w:t>
      </w:r>
      <w:r>
        <w:rPr>
          <w:rFonts w:ascii="Montserrat;sans-serif" w:hAnsi="Montserrat;sans-serif"/>
          <w:color w:val="000000"/>
          <w:sz w:val="18"/>
        </w:rPr>
        <w:t>million for the six months ended June 30, 2026 and 2025, respectively.</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Company has historically funded its operations primarily through the issuance of common stock and the sale of future royalties. The Company’s ability to achieve and sustain profitability will depend on the successful development, approval and commercialization of its product candidates and on the achievement of sufficient revenue to support its cost structure and, unless and until it does, the Company will need to raise additional capital to maintain current operations and to continue research and development activities. The Company continues to monitor and reduce certain expenditures and plans to raise additional capital through approaches that include equity or debt financings, collaborations or a combination of similar transactions. While the Company has been able to raise multiple rounds of financing, there can be no assurance that such financing will be available in the future on terms which are favorable or at all. The Company could be required to pause, scale back or discontinue one or more of its development programs, which could adversely affect the Company’s business, financial condition and results of operations.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Company believes that the existing cash and cash equivalents may not be sufficient to meet the anticipated operating and capital expenditure requirements for the 12 months following the date of this Quarterly Report on Form 10-Q. As a result, there is substantial doubt regarding the Company's ability to continue as a going concern. The consolidated financial statements have been prepared assuming that the Company will continue to operate as a going concern, which contemplates the realization of assets and satisfaction of liabilities and commitments in the ordinary course of business.</w:t>
      </w:r>
    </w:p>
    <w:p>
      <w:pPr>
        <w:pStyle w:val="TextBody"/>
        <w:bidi w:val="0"/>
        <w:spacing w:before="240" w:after="283"/>
        <w:jc w:val="left"/>
        <w:rPr>
          <w:rFonts w:ascii="Times New Roman" w:hAnsi="Times New Roman"/>
          <w:sz w:val="20"/>
        </w:rPr>
      </w:pPr>
      <w:bookmarkStart w:id="10" w:name="fn2_sosap"/>
      <w:bookmarkEnd w:id="10"/>
      <w:r>
        <w:rPr>
          <w:rFonts w:ascii="Montserrat;sans-serif" w:hAnsi="Montserrat;sans-serif"/>
          <w:b/>
          <w:color w:val="000000"/>
          <w:sz w:val="18"/>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b/>
          <w:i/>
          <w:color w:val="000000"/>
          <w:sz w:val="18"/>
        </w:rPr>
      </w:pPr>
      <w:r>
        <w:rPr>
          <w:rFonts w:ascii="Montserrat;sans-serif" w:hAnsi="Montserrat;sans-serif"/>
          <w:b/>
          <w:i/>
          <w:color w:val="000000"/>
          <w:sz w:val="18"/>
        </w:rPr>
        <w:t>Basis of Presentation and Principles of Consolidation</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condensed consolidated financial statements have been prepared in accordance with accounting principles generally accepted in the United States of America (“GAAP”) and the applicable rules and regulations of the Securities and Exchange Commission (the “SEC”) regarding interim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2025.</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condensed consolidated financial statements include the accounts of Kodiak Sciences Inc. and its wholly owned subsidiaries. All intercompany balances and transactions have been eliminated in consolidation. The condensed consolidated financial statements reflect all normal recurring adjustments that are necessary to present fairly the results for the interim periods presented. Interim results are not necessarily indicative of the results for the full year ending December 31, 2026.</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Use of Estimates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preparation of consolidated financial statements in conformity with GAAP requires management to make estimates and assumptions that affect the reported amounts of assets and liabilities, disclosure of contingent assets and liabilities as of the date of the consolidated financial statements and expenses during the reporting period. Such estimates include, but are not limited to, accrued research and development and stock-based compensation. Actual results could differ from those estimates.</w:t>
      </w:r>
    </w:p>
    <w:p>
      <w:pPr>
        <w:pStyle w:val="TextBody"/>
        <w:bidi w:val="0"/>
        <w:spacing w:before="120" w:after="283"/>
        <w:jc w:val="center"/>
        <w:rPr>
          <w:rFonts w:ascii="Montserrat;sans-serif" w:hAnsi="Montserrat;sans-serif"/>
          <w:color w:val="000000"/>
          <w:sz w:val="20"/>
        </w:rPr>
      </w:pPr>
      <w:r>
        <w:rPr>
          <w:rFonts w:ascii="Montserrat;sans-serif" w:hAnsi="Montserrat;sans-serif"/>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Montserrat;sans-serif" w:hAnsi="Montserrat;sans-serif"/>
          <w:b/>
          <w:color w:val="000000"/>
          <w:sz w:val="18"/>
        </w:rPr>
        <w:t>Kodiak Sciences Inc.</w:t>
      </w:r>
      <w:r>
        <w:rPr>
          <w:rFonts w:ascii="Times New Roman" w:hAnsi="Times New Roman"/>
          <w:color w:val="000000"/>
          <w:sz w:val="20"/>
        </w:rPr>
        <w:t xml:space="preserve">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Notes to Unaudited Condensed Consolidated Financial Statements (Continued)</w:t>
      </w:r>
    </w:p>
    <w:p>
      <w:pPr>
        <w:pStyle w:val="TextBody"/>
        <w:bidi w:val="0"/>
        <w:jc w:val="left"/>
        <w:rPr/>
      </w:pPr>
      <w:r>
        <w:rPr/>
        <w:t> </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Risks and Uncertainties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Global economic and business activities continue to face widespread macroeconomic uncertainties, including as a result of health epidemics, labor shortages, bank failures, inflation and monetary supply shifts, tariffs, recession risks and potential disruptions from geopolitical conflicts.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timeframe, will depend on future developments, which are uncertain and cannot be predicted; however, any continued or renewed disruption resulting from these factors could negatively impact the Company’s business.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Company’s future results of operations involve a number of risks and uncertainties common to clinical 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and vendors.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Company expects to incur substantial operating losses for the next several years and will need to obtain additional financing in order to complete clinical trials, launch and commercialize any product candidates for which it receives regulatory approval. There can be no assurance that such financing will be available or will be on terms acceptable by the Company.</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Summary of Significant Accounting Policies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significant accounting policies used in preparation of these condensed consolidated financial statements are consistent with those discussed in Note 2 to the consolidated financial statements in the Company’s Annual Report on Form 10-K for the year ended December 31, 2025, except as noted below within the “Recent Accounting Pronouncements” section.</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 xml:space="preserve">Recent </w:t>
      </w:r>
      <w:r>
        <w:rPr>
          <w:rFonts w:ascii="Montserrat;sans-serif" w:hAnsi="Montserrat;sans-serif"/>
          <w:b/>
          <w:i/>
          <w:caps/>
          <w:color w:val="000000"/>
          <w:sz w:val="18"/>
        </w:rPr>
        <w:t>a</w:t>
      </w:r>
      <w:r>
        <w:rPr>
          <w:rFonts w:ascii="Montserrat;sans-serif" w:hAnsi="Montserrat;sans-serif"/>
          <w:b/>
          <w:i/>
          <w:color w:val="000000"/>
          <w:sz w:val="18"/>
        </w:rPr>
        <w:t xml:space="preserve">ccounting </w:t>
      </w:r>
      <w:r>
        <w:rPr>
          <w:rFonts w:ascii="Montserrat;sans-serif" w:hAnsi="Montserrat;sans-serif"/>
          <w:b/>
          <w:i/>
          <w:caps/>
          <w:color w:val="000000"/>
          <w:sz w:val="18"/>
        </w:rPr>
        <w:t>p</w:t>
      </w:r>
      <w:r>
        <w:rPr>
          <w:rFonts w:ascii="Montserrat;sans-serif" w:hAnsi="Montserrat;sans-serif"/>
          <w:b/>
          <w:i/>
          <w:color w:val="000000"/>
          <w:sz w:val="18"/>
        </w:rPr>
        <w:t>ronouncements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From time to time, new accounting pronouncements are issued by the Financial Accounting Standards Board (“FASB”), and adopted by the Company as of the specified effective date.</w:t>
      </w:r>
    </w:p>
    <w:p>
      <w:pPr>
        <w:pStyle w:val="TextBody"/>
        <w:bidi w:val="0"/>
        <w:spacing w:before="240" w:after="283"/>
        <w:jc w:val="left"/>
        <w:rPr>
          <w:rFonts w:ascii="Times New Roman" w:hAnsi="Times New Roman"/>
          <w:sz w:val="20"/>
        </w:rPr>
      </w:pPr>
      <w:r>
        <w:rPr>
          <w:rFonts w:ascii="Montserrat;sans-serif" w:hAnsi="Montserrat;sans-serif"/>
          <w:i/>
          <w:color w:val="000000"/>
          <w:sz w:val="18"/>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 xml:space="preserve">In November 2024, the FASB issued ASU 2024-03, </w:t>
      </w:r>
      <w:r>
        <w:rPr>
          <w:rFonts w:ascii="Montserrat;sans-serif" w:hAnsi="Montserrat;sans-serif"/>
          <w:i/>
          <w:color w:val="000000"/>
          <w:sz w:val="18"/>
        </w:rPr>
        <w:t>Disaggregation of Income Statement Expenses</w:t>
      </w:r>
      <w:r>
        <w:rPr>
          <w:rFonts w:ascii="Montserrat;sans-serif" w:hAnsi="Montserrat;sans-serif"/>
          <w:color w:val="000000"/>
          <w:sz w:val="18"/>
        </w:rPr>
        <w:t>, which requires additional disclosure of the nature of expenses included in the income statement. The ASU is effective for annual periods beginning after December 15, 2026 and interim periods within fiscal years beginning after December 15, 2027, and early adoption is permitted. The Company is assessing the impact of this standard on its consolidated financial statements and related disclosures.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Montserrat;sans-serif" w:hAnsi="Montserrat;sans-serif"/>
          <w:b/>
          <w:color w:val="000000"/>
          <w:sz w:val="18"/>
        </w:rPr>
        <w:t>Kodiak Sciences Inc.</w:t>
      </w:r>
      <w:r>
        <w:rPr>
          <w:rFonts w:ascii="Times New Roman" w:hAnsi="Times New Roman"/>
          <w:color w:val="000000"/>
          <w:sz w:val="20"/>
        </w:rPr>
        <w:t xml:space="preserve">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Notes to Unaudited Condensed Consolidated Financial Statements (Continued)</w:t>
      </w:r>
    </w:p>
    <w:p>
      <w:pPr>
        <w:pStyle w:val="TextBody"/>
        <w:bidi w:val="0"/>
        <w:jc w:val="left"/>
        <w:rPr/>
      </w:pPr>
      <w:r>
        <w:rPr/>
        <w:t> </w:t>
      </w:r>
    </w:p>
    <w:p>
      <w:pPr>
        <w:pStyle w:val="TextBody"/>
        <w:bidi w:val="0"/>
        <w:spacing w:before="240" w:after="283"/>
        <w:jc w:val="left"/>
        <w:rPr>
          <w:rFonts w:ascii="Times New Roman" w:hAnsi="Times New Roman"/>
          <w:sz w:val="20"/>
        </w:rPr>
      </w:pPr>
      <w:bookmarkStart w:id="11" w:name="fn3_accruedotherliab"/>
      <w:bookmarkEnd w:id="11"/>
      <w:r>
        <w:rPr>
          <w:rFonts w:ascii="Montserrat;sans-serif" w:hAnsi="Montserrat;sans-serif"/>
          <w:b/>
          <w:color w:val="000000"/>
          <w:sz w:val="18"/>
        </w:rPr>
        <w:t>3. 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Accrued and other current liabilities consist of the following (in thousands):</w:t>
      </w:r>
      <w:r>
        <w:rPr>
          <w:rFonts w:ascii="Times New Roman" w:hAnsi="Times New Roman"/>
          <w:color w:val="000000"/>
          <w:sz w:val="20"/>
        </w:rPr>
        <w:t xml:space="preserve"> </w:t>
      </w:r>
    </w:p>
    <w:p>
      <w:pPr>
        <w:pStyle w:val="TextBody"/>
        <w:bidi w:val="0"/>
        <w:jc w:val="left"/>
        <w:rPr/>
      </w:pPr>
      <w:r>
        <w:rPr/>
        <w:t> </w:t>
      </w:r>
    </w:p>
    <w:tbl>
      <w:tblPr>
        <w:tblW w:w="9027" w:type="dxa"/>
        <w:jc w:val="left"/>
        <w:tblInd w:w="0" w:type="dxa"/>
        <w:tblLayout w:type="fixed"/>
        <w:tblCellMar>
          <w:top w:w="28" w:type="dxa"/>
          <w:left w:w="28" w:type="dxa"/>
          <w:bottom w:w="28" w:type="dxa"/>
          <w:right w:w="28" w:type="dxa"/>
        </w:tblCellMar>
      </w:tblPr>
      <w:tblGrid>
        <w:gridCol w:w="5491"/>
        <w:gridCol w:w="346"/>
        <w:gridCol w:w="226"/>
        <w:gridCol w:w="766"/>
        <w:gridCol w:w="146"/>
        <w:gridCol w:w="146"/>
        <w:gridCol w:w="344"/>
        <w:gridCol w:w="1171"/>
        <w:gridCol w:w="391"/>
      </w:tblGrid>
      <w:tr>
        <w:trPr/>
        <w:tc>
          <w:tcPr>
            <w:tcW w:w="54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Accrued manufacturing and research &amp; development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6,238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Accrued salaries and benefits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7,770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Accrued clinical trial and related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4,494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Accrued legal fees and professional fees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Accrued other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2,205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Total accrued and other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30,320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20,607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12" w:name="fn4_fairvalue"/>
      <w:bookmarkEnd w:id="12"/>
      <w:r>
        <w:rPr>
          <w:rFonts w:ascii="Montserrat;sans-serif" w:hAnsi="Montserrat;sans-serif"/>
          <w:b/>
          <w:color w:val="000000"/>
          <w:sz w:val="18"/>
        </w:rPr>
        <w:t>4.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following tables present the Company’s fair value hierarchy for assets measured at fair value on a recurring basis (in thousands):</w:t>
      </w:r>
      <w:r>
        <w:rPr>
          <w:rFonts w:ascii="Times New Roman" w:hAnsi="Times New Roman"/>
          <w:color w:val="000000"/>
          <w:sz w:val="20"/>
        </w:rPr>
        <w:t xml:space="preserve"> </w:t>
      </w:r>
    </w:p>
    <w:p>
      <w:pPr>
        <w:pStyle w:val="TextBody"/>
        <w:bidi w:val="0"/>
        <w:jc w:val="left"/>
        <w:rPr/>
      </w:pPr>
      <w:r>
        <w:rPr/>
        <w:t> </w:t>
      </w:r>
    </w:p>
    <w:tbl>
      <w:tblPr>
        <w:tblW w:w="8925" w:type="dxa"/>
        <w:jc w:val="left"/>
        <w:tblInd w:w="0" w:type="dxa"/>
        <w:tblLayout w:type="fixed"/>
        <w:tblCellMar>
          <w:top w:w="28" w:type="dxa"/>
          <w:left w:w="28" w:type="dxa"/>
          <w:bottom w:w="28" w:type="dxa"/>
          <w:right w:w="28" w:type="dxa"/>
        </w:tblCellMar>
      </w:tblPr>
      <w:tblGrid>
        <w:gridCol w:w="3216"/>
        <w:gridCol w:w="346"/>
        <w:gridCol w:w="239"/>
        <w:gridCol w:w="940"/>
        <w:gridCol w:w="154"/>
        <w:gridCol w:w="154"/>
        <w:gridCol w:w="334"/>
        <w:gridCol w:w="511"/>
        <w:gridCol w:w="154"/>
        <w:gridCol w:w="154"/>
        <w:gridCol w:w="334"/>
        <w:gridCol w:w="511"/>
        <w:gridCol w:w="154"/>
        <w:gridCol w:w="154"/>
        <w:gridCol w:w="239"/>
        <w:gridCol w:w="940"/>
        <w:gridCol w:w="391"/>
      </w:tblGrid>
      <w:tr>
        <w:trPr/>
        <w:tc>
          <w:tcPr>
            <w:tcW w:w="32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Fair Value Measurements at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Level 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Level 2</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Level 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Money market funds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118,212</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118,212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Total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118,212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118,212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7,691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7,691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Total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125,903</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125,903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Fair Value Measurements at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Level 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Level 2</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Level 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Money market funds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207,585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207,585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Total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207,585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207,585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2,277</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2,277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Total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209,862</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209,862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As of June 30, 2026, the fair value of the liability related to sale of future royalties is based on the Company's current estimates of future royalties expected to be paid to Baker Bros. Advisors, LP (“BBA”), which are considered Level 3 inputs.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As discussed in Note 5, the Company entered into a sublease agreement during the first quarter of 2025, which led to an impairment of the related right-of-use asset. Estimated fair value of the right-of-use asset was based on expected sublease rental income, considering current sublease market conditions, discounted at a market rate of return on similar assets. The estimates and assumptions used are considered Level 3 inputs.</w:t>
      </w:r>
    </w:p>
    <w:p>
      <w:pPr>
        <w:pStyle w:val="TextBody"/>
        <w:bidi w:val="0"/>
        <w:spacing w:before="240" w:after="283"/>
        <w:jc w:val="left"/>
        <w:rPr>
          <w:rFonts w:ascii="Montserrat;sans-serif" w:hAnsi="Montserrat;sans-serif"/>
          <w:b/>
          <w:color w:val="000000"/>
          <w:sz w:val="18"/>
        </w:rPr>
      </w:pPr>
      <w:bookmarkStart w:id="13" w:name="fn5_commitmentscontingencies"/>
      <w:bookmarkEnd w:id="13"/>
      <w:r>
        <w:rPr>
          <w:rFonts w:ascii="Montserrat;sans-serif" w:hAnsi="Montserrat;sans-serif"/>
          <w:b/>
          <w:color w:val="000000"/>
          <w:sz w:val="18"/>
        </w:rPr>
        <w:t>5. Commitments and Contingencies</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Leases</w:t>
      </w:r>
      <w:r>
        <w:rPr>
          <w:rFonts w:ascii="Times New Roman" w:hAnsi="Times New Roman"/>
          <w:color w:val="000000"/>
          <w:sz w:val="20"/>
        </w:rPr>
        <w:t xml:space="preserve"> </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Palo Alto, California Leases</w:t>
      </w:r>
    </w:p>
    <w:p>
      <w:pPr>
        <w:pStyle w:val="TextBody"/>
        <w:bidi w:val="0"/>
        <w:spacing w:before="120" w:after="283"/>
        <w:jc w:val="left"/>
        <w:rPr>
          <w:rFonts w:ascii="Times New Roman" w:hAnsi="Times New Roman"/>
          <w:sz w:val="20"/>
        </w:rPr>
      </w:pPr>
      <w:r>
        <w:rPr>
          <w:rFonts w:ascii="Montserrat;sans-serif" w:hAnsi="Montserrat;sans-serif"/>
          <w:color w:val="000000"/>
          <w:sz w:val="18"/>
        </w:rPr>
        <w:t>In June 2020, the Company entered into lease agreements for two</w:t>
      </w:r>
      <w:r>
        <w:rPr>
          <w:rFonts w:ascii="Times New Roman" w:hAnsi="Times New Roman"/>
          <w:color w:val="000000"/>
          <w:sz w:val="20"/>
        </w:rPr>
        <w:t xml:space="preserve"> </w:t>
      </w:r>
      <w:r>
        <w:rPr>
          <w:rFonts w:ascii="Montserrat;sans-serif" w:hAnsi="Montserrat;sans-serif"/>
          <w:color w:val="000000"/>
          <w:sz w:val="18"/>
        </w:rPr>
        <w:t>buildings at 1200 and 1250 Page Mill Road in Palo Alto, California, which serve as the Company’s U.S. corporate offices and research and development facilities. The buildings are approximately 73,000</w:t>
      </w:r>
      <w:r>
        <w:rPr>
          <w:rFonts w:ascii="Times New Roman" w:hAnsi="Times New Roman"/>
          <w:color w:val="000000"/>
          <w:sz w:val="20"/>
        </w:rPr>
        <w:t xml:space="preserve"> </w:t>
      </w:r>
      <w:r>
        <w:rPr>
          <w:rFonts w:ascii="Montserrat;sans-serif" w:hAnsi="Montserrat;sans-serif"/>
          <w:color w:val="000000"/>
          <w:sz w:val="18"/>
        </w:rPr>
        <w:t>square feet and 83,000</w:t>
      </w:r>
      <w:r>
        <w:rPr>
          <w:rFonts w:ascii="Times New Roman" w:hAnsi="Times New Roman"/>
          <w:color w:val="000000"/>
          <w:sz w:val="20"/>
        </w:rPr>
        <w:t xml:space="preserve"> </w:t>
      </w:r>
      <w:r>
        <w:rPr>
          <w:rFonts w:ascii="Montserrat;sans-serif" w:hAnsi="Montserrat;sans-serif"/>
          <w:color w:val="000000"/>
          <w:sz w:val="18"/>
        </w:rPr>
        <w:t>square feet, respectively, and include office and laboratory space.</w:t>
      </w:r>
    </w:p>
    <w:p>
      <w:pPr>
        <w:pStyle w:val="TextBody"/>
        <w:bidi w:val="0"/>
        <w:spacing w:before="120" w:after="283"/>
        <w:jc w:val="left"/>
        <w:rPr>
          <w:rFonts w:ascii="Times New Roman" w:hAnsi="Times New Roman"/>
          <w:sz w:val="20"/>
        </w:rPr>
      </w:pPr>
      <w:r>
        <w:rPr>
          <w:rFonts w:ascii="Montserrat;sans-serif" w:hAnsi="Montserrat;sans-serif"/>
          <w:color w:val="000000"/>
          <w:sz w:val="18"/>
        </w:rPr>
        <w:t>The lease term for 1250 Page Mill Road is 13</w:t>
      </w:r>
      <w:r>
        <w:rPr>
          <w:rFonts w:ascii="Times New Roman" w:hAnsi="Times New Roman"/>
          <w:color w:val="000000"/>
          <w:sz w:val="20"/>
        </w:rPr>
        <w:t xml:space="preserve"> </w:t>
      </w:r>
      <w:r>
        <w:rPr>
          <w:rFonts w:ascii="Montserrat;sans-serif" w:hAnsi="Montserrat;sans-serif"/>
          <w:color w:val="000000"/>
          <w:sz w:val="18"/>
        </w:rPr>
        <w:t>years and commenced in July 2020. The lease includes two</w:t>
      </w:r>
      <w:r>
        <w:rPr>
          <w:rFonts w:ascii="Times New Roman" w:hAnsi="Times New Roman"/>
          <w:color w:val="000000"/>
          <w:sz w:val="20"/>
        </w:rPr>
        <w:t xml:space="preserve"> </w:t>
      </w:r>
      <w:r>
        <w:rPr>
          <w:rFonts w:ascii="Montserrat;sans-serif" w:hAnsi="Montserrat;sans-serif"/>
          <w:color w:val="000000"/>
          <w:sz w:val="18"/>
        </w:rPr>
        <w:t>options to extend for a term of five</w:t>
      </w:r>
      <w:r>
        <w:rPr>
          <w:rFonts w:ascii="Times New Roman" w:hAnsi="Times New Roman"/>
          <w:color w:val="000000"/>
          <w:sz w:val="20"/>
        </w:rPr>
        <w:t xml:space="preserve"> </w:t>
      </w:r>
      <w:r>
        <w:rPr>
          <w:rFonts w:ascii="Montserrat;sans-serif" w:hAnsi="Montserrat;sans-serif"/>
          <w:color w:val="000000"/>
          <w:sz w:val="18"/>
        </w:rPr>
        <w:t>years each. The lease term for 1200 Page Mill Road is 6.5</w:t>
      </w:r>
      <w:r>
        <w:rPr>
          <w:rFonts w:ascii="Times New Roman" w:hAnsi="Times New Roman"/>
          <w:color w:val="000000"/>
          <w:sz w:val="20"/>
        </w:rPr>
        <w:t xml:space="preserve"> </w:t>
      </w:r>
      <w:r>
        <w:rPr>
          <w:rFonts w:ascii="Montserrat;sans-serif" w:hAnsi="Montserrat;sans-serif"/>
          <w:color w:val="000000"/>
          <w:sz w:val="18"/>
        </w:rPr>
        <w:t>years and commenced in September 2020. The lease includes an option to extend for another 6.5</w:t>
      </w:r>
      <w:r>
        <w:rPr>
          <w:rFonts w:ascii="Times New Roman" w:hAnsi="Times New Roman"/>
          <w:color w:val="000000"/>
          <w:sz w:val="20"/>
        </w:rPr>
        <w:t xml:space="preserve"> </w:t>
      </w:r>
      <w:r>
        <w:rPr>
          <w:rFonts w:ascii="Montserrat;sans-serif" w:hAnsi="Montserrat;sans-serif"/>
          <w:color w:val="000000"/>
          <w:sz w:val="18"/>
        </w:rPr>
        <w:t>years. In both cases, the Company determined the extension options were not reasonably certain to be exercised at lease inception. In addition to fixed monthly rent, the Company pays for variable operating expenses, such as property taxes, insurance costs, and maintenance costs.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Montserrat;sans-serif" w:hAnsi="Montserrat;sans-serif"/>
          <w:b/>
          <w:color w:val="000000"/>
          <w:sz w:val="18"/>
        </w:rPr>
        <w:t>Kodiak Sciences Inc.</w:t>
      </w:r>
      <w:r>
        <w:rPr>
          <w:rFonts w:ascii="Times New Roman" w:hAnsi="Times New Roman"/>
          <w:color w:val="000000"/>
          <w:sz w:val="20"/>
        </w:rPr>
        <w:t xml:space="preserve">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Notes to Unaudited Condensed Consolidated Financial Statements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In March 2025, the Company subleased 1200 Page Mill Road. The term of the sublease was from March 2025 to February 2027, with no option to extend. Following a termination in July 2026, discussed below, there are no future minimum lease payments to be received under the sublease. In addition to fixed monthly rent, the sublessee also pays for variable operating expenses. During the three and six months ended June 30, 2026, the Company recognized $1.9</w:t>
      </w:r>
      <w:r>
        <w:rPr>
          <w:rFonts w:ascii="Times New Roman" w:hAnsi="Times New Roman"/>
          <w:color w:val="000000"/>
          <w:sz w:val="20"/>
        </w:rPr>
        <w:t xml:space="preserve"> </w:t>
      </w:r>
      <w:r>
        <w:rPr>
          <w:rFonts w:ascii="Montserrat;sans-serif" w:hAnsi="Montserrat;sans-serif"/>
          <w:color w:val="000000"/>
          <w:sz w:val="18"/>
        </w:rPr>
        <w:t>million (of which $0.5</w:t>
      </w:r>
      <w:r>
        <w:rPr>
          <w:rFonts w:ascii="Times New Roman" w:hAnsi="Times New Roman"/>
          <w:color w:val="000000"/>
          <w:sz w:val="20"/>
        </w:rPr>
        <w:t xml:space="preserve"> </w:t>
      </w:r>
      <w:r>
        <w:rPr>
          <w:rFonts w:ascii="Montserrat;sans-serif" w:hAnsi="Montserrat;sans-serif"/>
          <w:color w:val="000000"/>
          <w:sz w:val="18"/>
        </w:rPr>
        <w:t>million was variable sublease income) and $3.8</w:t>
      </w:r>
      <w:r>
        <w:rPr>
          <w:rFonts w:ascii="Times New Roman" w:hAnsi="Times New Roman"/>
          <w:color w:val="000000"/>
          <w:sz w:val="20"/>
        </w:rPr>
        <w:t xml:space="preserve"> </w:t>
      </w:r>
      <w:r>
        <w:rPr>
          <w:rFonts w:ascii="Montserrat;sans-serif" w:hAnsi="Montserrat;sans-serif"/>
          <w:color w:val="000000"/>
          <w:sz w:val="18"/>
        </w:rPr>
        <w:t>million of sublease income (of which $1.0</w:t>
      </w:r>
      <w:r>
        <w:rPr>
          <w:rFonts w:ascii="Times New Roman" w:hAnsi="Times New Roman"/>
          <w:color w:val="000000"/>
          <w:sz w:val="20"/>
        </w:rPr>
        <w:t xml:space="preserve"> </w:t>
      </w:r>
      <w:r>
        <w:rPr>
          <w:rFonts w:ascii="Montserrat;sans-serif" w:hAnsi="Montserrat;sans-serif"/>
          <w:color w:val="000000"/>
          <w:sz w:val="18"/>
        </w:rPr>
        <w:t>million was variable sublease income), respectively. During the three and six months ended June 30, 2025, the Company recognized $1.9</w:t>
      </w:r>
      <w:r>
        <w:rPr>
          <w:rFonts w:ascii="Times New Roman" w:hAnsi="Times New Roman"/>
          <w:color w:val="000000"/>
          <w:sz w:val="20"/>
        </w:rPr>
        <w:t xml:space="preserve"> </w:t>
      </w:r>
      <w:r>
        <w:rPr>
          <w:rFonts w:ascii="Montserrat;sans-serif" w:hAnsi="Montserrat;sans-serif"/>
          <w:color w:val="000000"/>
          <w:sz w:val="18"/>
        </w:rPr>
        <w:t>million (of which $0.4</w:t>
      </w:r>
      <w:r>
        <w:rPr>
          <w:rFonts w:ascii="Times New Roman" w:hAnsi="Times New Roman"/>
          <w:color w:val="000000"/>
          <w:sz w:val="20"/>
        </w:rPr>
        <w:t xml:space="preserve"> </w:t>
      </w:r>
      <w:r>
        <w:rPr>
          <w:rFonts w:ascii="Montserrat;sans-serif" w:hAnsi="Montserrat;sans-serif"/>
          <w:color w:val="000000"/>
          <w:sz w:val="18"/>
        </w:rPr>
        <w:t>million was variable sublease income) and $2.4</w:t>
      </w:r>
      <w:r>
        <w:rPr>
          <w:rFonts w:ascii="Times New Roman" w:hAnsi="Times New Roman"/>
          <w:color w:val="000000"/>
          <w:sz w:val="20"/>
        </w:rPr>
        <w:t xml:space="preserve"> </w:t>
      </w:r>
      <w:r>
        <w:rPr>
          <w:rFonts w:ascii="Montserrat;sans-serif" w:hAnsi="Montserrat;sans-serif"/>
          <w:color w:val="000000"/>
          <w:sz w:val="18"/>
        </w:rPr>
        <w:t>million of sublease income (of which $0.6</w:t>
      </w:r>
      <w:r>
        <w:rPr>
          <w:rFonts w:ascii="Times New Roman" w:hAnsi="Times New Roman"/>
          <w:color w:val="000000"/>
          <w:sz w:val="20"/>
        </w:rPr>
        <w:t xml:space="preserve"> </w:t>
      </w:r>
      <w:r>
        <w:rPr>
          <w:rFonts w:ascii="Montserrat;sans-serif" w:hAnsi="Montserrat;sans-serif"/>
          <w:color w:val="000000"/>
          <w:sz w:val="18"/>
        </w:rPr>
        <w:t>million was variable sublease income), respectively. Sublease income is recorded as a reduction to rent expense and included within general and administrative expense. Upon entering the sublease, the Company recognized a non-cash lease impairment expense of $1.9</w:t>
      </w:r>
      <w:r>
        <w:rPr>
          <w:rFonts w:ascii="Times New Roman" w:hAnsi="Times New Roman"/>
          <w:color w:val="000000"/>
          <w:sz w:val="20"/>
        </w:rPr>
        <w:t xml:space="preserve"> </w:t>
      </w:r>
      <w:r>
        <w:rPr>
          <w:rFonts w:ascii="Montserrat;sans-serif" w:hAnsi="Montserrat;sans-serif"/>
          <w:color w:val="000000"/>
          <w:sz w:val="18"/>
        </w:rPr>
        <w:t>million in the first quarter of 2025 (included within general and administrative expense) because the remaining lease cost to be recognized by the Company exceeded anticipated sublease income. See Note 4 for discussion of inputs used in determining the impairment.</w:t>
      </w:r>
    </w:p>
    <w:p>
      <w:pPr>
        <w:pStyle w:val="TextBody"/>
        <w:bidi w:val="0"/>
        <w:spacing w:before="240" w:after="283"/>
        <w:jc w:val="left"/>
        <w:rPr>
          <w:rFonts w:ascii="Montserrat;sans-serif" w:hAnsi="Montserrat;sans-serif"/>
          <w:i/>
          <w:color w:val="000000"/>
          <w:sz w:val="18"/>
        </w:rPr>
      </w:pPr>
      <w:r>
        <w:rPr>
          <w:rFonts w:ascii="Montserrat;sans-serif" w:hAnsi="Montserrat;sans-serif"/>
          <w:i/>
          <w:color w:val="000000"/>
          <w:sz w:val="18"/>
        </w:rPr>
        <w:t>Termination of 1200 Page Mill Road Lease and Sublease, and New Option for 1100 Page Mill Road Lease (July 2026)</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July 2026, the Company entered into agreements with its landlord to terminate the remaining eight months of its lease for 1200 Page Mill Road and, in exchange, the Company received an option, exercisable through March 1, 2027, to lease a separate building on the same campus with certain lease incentives. As part of the lease termination, the Company also terminated its sublease of the 1200 Page Mill Road building.</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Switzerland Lease</w:t>
      </w:r>
    </w:p>
    <w:p>
      <w:pPr>
        <w:pStyle w:val="TextBody"/>
        <w:bidi w:val="0"/>
        <w:spacing w:before="120" w:after="283"/>
        <w:jc w:val="left"/>
        <w:rPr>
          <w:rFonts w:ascii="Times New Roman" w:hAnsi="Times New Roman"/>
          <w:sz w:val="20"/>
        </w:rPr>
      </w:pPr>
      <w:r>
        <w:rPr>
          <w:rFonts w:ascii="Montserrat;sans-serif" w:hAnsi="Montserrat;sans-serif"/>
          <w:color w:val="000000"/>
          <w:sz w:val="18"/>
        </w:rPr>
        <w:t>In April 2020, the Company entered into a lease agreement for approximately 1,000</w:t>
      </w:r>
      <w:r>
        <w:rPr>
          <w:rFonts w:ascii="Times New Roman" w:hAnsi="Times New Roman"/>
          <w:color w:val="000000"/>
          <w:sz w:val="20"/>
        </w:rPr>
        <w:t xml:space="preserve"> </w:t>
      </w:r>
      <w:r>
        <w:rPr>
          <w:rFonts w:ascii="Montserrat;sans-serif" w:hAnsi="Montserrat;sans-serif"/>
          <w:color w:val="000000"/>
          <w:sz w:val="18"/>
        </w:rPr>
        <w:t>square meters of office and laboratory space in Visp, Switzerland. The initial lease term is 5</w:t>
      </w:r>
      <w:r>
        <w:rPr>
          <w:rFonts w:ascii="Times New Roman" w:hAnsi="Times New Roman"/>
          <w:color w:val="000000"/>
          <w:sz w:val="20"/>
        </w:rPr>
        <w:t xml:space="preserve"> </w:t>
      </w:r>
      <w:r>
        <w:rPr>
          <w:rFonts w:ascii="Montserrat;sans-serif" w:hAnsi="Montserrat;sans-serif"/>
          <w:color w:val="000000"/>
          <w:sz w:val="18"/>
        </w:rPr>
        <w:t>years, with automatic renewals every 5</w:t>
      </w:r>
      <w:r>
        <w:rPr>
          <w:rFonts w:ascii="Times New Roman" w:hAnsi="Times New Roman"/>
          <w:color w:val="000000"/>
          <w:sz w:val="20"/>
        </w:rPr>
        <w:t xml:space="preserve"> </w:t>
      </w:r>
      <w:r>
        <w:rPr>
          <w:rFonts w:ascii="Montserrat;sans-serif" w:hAnsi="Montserrat;sans-serif"/>
          <w:color w:val="000000"/>
          <w:sz w:val="18"/>
        </w:rPr>
        <w:t>years for a maximum lease term of 15</w:t>
      </w:r>
      <w:r>
        <w:rPr>
          <w:rFonts w:ascii="Times New Roman" w:hAnsi="Times New Roman"/>
          <w:color w:val="000000"/>
          <w:sz w:val="20"/>
        </w:rPr>
        <w:t xml:space="preserve"> </w:t>
      </w:r>
      <w:r>
        <w:rPr>
          <w:rFonts w:ascii="Montserrat;sans-serif" w:hAnsi="Montserrat;sans-serif"/>
          <w:color w:val="000000"/>
          <w:sz w:val="18"/>
        </w:rPr>
        <w:t>years. In addition to fixed monthly rent, the Company pays certain operating expenses and taxes.</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Ursus Facility</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August 2020, the Company and its wholly owned subsidiary Kodiak Sciences GmbH entered into a manufacturing agreement with Lonza Ltd (“Lonza”) for the clinical and commercial supply of the Company’s antibody biopolymer conjugate drug substance which included a custom-built manufacturing suite. 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 The Company concluded that this agreement contained an embedded lease as the custom-built manufacturing suite would be dedicated for the Company’s use. Under ASC 842, the Company classified the lease portion as an operating lease and recorded a right-of-use asset and lease liability on the lease commencement date.</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Manufacturing Agreements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Company has entered into service and equipment purchase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Other Funding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Montserrat;sans-serif" w:hAnsi="Montserrat;sans-serif"/>
          <w:b/>
          <w:color w:val="000000"/>
          <w:sz w:val="18"/>
        </w:rPr>
        <w:t>Kodiak Sciences Inc.</w:t>
      </w:r>
      <w:r>
        <w:rPr>
          <w:rFonts w:ascii="Times New Roman" w:hAnsi="Times New Roman"/>
          <w:color w:val="000000"/>
          <w:sz w:val="20"/>
        </w:rPr>
        <w:t xml:space="preserve">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Notes to Unaudited Condensed Consolidated Financial Statements (Continued)</w:t>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Legal Proceedings</w:t>
      </w:r>
    </w:p>
    <w:p>
      <w:pPr>
        <w:pStyle w:val="TextBody"/>
        <w:bidi w:val="0"/>
        <w:spacing w:before="120" w:after="283"/>
        <w:jc w:val="left"/>
        <w:rPr>
          <w:rFonts w:ascii="Times New Roman" w:hAnsi="Times New Roman"/>
          <w:sz w:val="20"/>
        </w:rPr>
      </w:pPr>
      <w:r>
        <w:rPr>
          <w:rFonts w:ascii="Montserrat;sans-serif" w:hAnsi="Montserrat;sans-serif"/>
          <w:color w:val="000000"/>
          <w:sz w:val="18"/>
        </w:rPr>
        <w:t>From time to time, the Company may be subject to various legal proceedings and claims that arise in the ordinary course of its business activities. Management is currently not aware of any matters that could have a material adverse effect on its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4" w:name="fn6_sbc"/>
      <w:bookmarkEnd w:id="14"/>
      <w:r>
        <w:rPr>
          <w:rFonts w:ascii="Montserrat;sans-serif" w:hAnsi="Montserrat;sans-serif"/>
          <w:b/>
          <w:color w:val="000000"/>
          <w:sz w:val="18"/>
        </w:rPr>
        <w:t>6.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Shares of common stock available for issuance under the Company's equity incentive plans at June 30, 2026, were as follows:</w:t>
      </w:r>
      <w:r>
        <w:rPr>
          <w:rFonts w:ascii="Times New Roman" w:hAnsi="Times New Roman"/>
          <w:color w:val="000000"/>
          <w:sz w:val="20"/>
        </w:rPr>
        <w:t xml:space="preserve"> </w:t>
      </w:r>
    </w:p>
    <w:p>
      <w:pPr>
        <w:pStyle w:val="TextBody"/>
        <w:bidi w:val="0"/>
        <w:jc w:val="left"/>
        <w:rPr/>
      </w:pPr>
      <w:r>
        <w:rPr/>
        <w:t> </w:t>
      </w:r>
    </w:p>
    <w:tbl>
      <w:tblPr>
        <w:tblW w:w="5168" w:type="dxa"/>
        <w:jc w:val="left"/>
        <w:tblInd w:w="0" w:type="dxa"/>
        <w:tblLayout w:type="fixed"/>
        <w:tblCellMar>
          <w:top w:w="28" w:type="dxa"/>
          <w:left w:w="28" w:type="dxa"/>
          <w:bottom w:w="28" w:type="dxa"/>
          <w:right w:w="28" w:type="dxa"/>
        </w:tblCellMar>
      </w:tblPr>
      <w:tblGrid>
        <w:gridCol w:w="3361"/>
        <w:gridCol w:w="146"/>
        <w:gridCol w:w="161"/>
        <w:gridCol w:w="1309"/>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Outstanding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21,658,848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Reserved for future award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2,769,357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Reserved for future ESPP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230,311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24,658,516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left"/>
        <w:rPr>
          <w:rFonts w:ascii="Times New Roman" w:hAnsi="Times New Roman"/>
          <w:sz w:val="20"/>
        </w:rPr>
      </w:pPr>
      <w:r>
        <w:rPr>
          <w:rFonts w:ascii="Montserrat;sans-serif" w:hAnsi="Montserrat;sans-serif"/>
          <w:b/>
          <w:i/>
          <w:color w:val="000000"/>
          <w:sz w:val="18"/>
        </w:rPr>
        <w:t>Stock Options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Stock option activity, including stock options and performance-based stock options under the 2021 Long-Term Performance Incentive Plan (“LTPIP”), 2018 Equity Incentive Plan ("2018 Plan") and 2015 Share Incentive Plan is summarized as follows:</w:t>
      </w:r>
    </w:p>
    <w:p>
      <w:pPr>
        <w:pStyle w:val="TextBody"/>
        <w:bidi w:val="0"/>
        <w:jc w:val="left"/>
        <w:rPr/>
      </w:pPr>
      <w:r>
        <w:rPr/>
        <w:t> </w:t>
      </w:r>
    </w:p>
    <w:tbl>
      <w:tblPr>
        <w:tblW w:w="9948" w:type="dxa"/>
        <w:jc w:val="left"/>
        <w:tblInd w:w="0" w:type="dxa"/>
        <w:tblLayout w:type="fixed"/>
        <w:tblCellMar>
          <w:top w:w="28" w:type="dxa"/>
          <w:left w:w="28" w:type="dxa"/>
          <w:bottom w:w="28" w:type="dxa"/>
          <w:right w:w="28" w:type="dxa"/>
        </w:tblCellMar>
      </w:tblPr>
      <w:tblGrid>
        <w:gridCol w:w="3376"/>
        <w:gridCol w:w="146"/>
        <w:gridCol w:w="146"/>
        <w:gridCol w:w="1186"/>
        <w:gridCol w:w="181"/>
        <w:gridCol w:w="146"/>
        <w:gridCol w:w="284"/>
        <w:gridCol w:w="812"/>
        <w:gridCol w:w="146"/>
        <w:gridCol w:w="146"/>
        <w:gridCol w:w="283"/>
        <w:gridCol w:w="1023"/>
        <w:gridCol w:w="146"/>
        <w:gridCol w:w="146"/>
        <w:gridCol w:w="323"/>
        <w:gridCol w:w="1267"/>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Number</w:t>
              <w:br/>
              <w:t>of</w:t>
              <w:br/>
              <w:t>Options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22,223,236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328,282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421,886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(1,012,665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Forfeited or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(100,360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21,532,097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453,300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left"/>
        <w:rPr>
          <w:rFonts w:ascii="Montserrat;sans-serif" w:hAnsi="Montserrat;sans-serif"/>
          <w:b/>
          <w:i/>
          <w:color w:val="000000"/>
          <w:sz w:val="18"/>
        </w:rPr>
      </w:pPr>
      <w:r>
        <w:rPr>
          <w:rFonts w:ascii="Montserrat;sans-serif" w:hAnsi="Montserrat;sans-serif"/>
          <w:b/>
          <w:i/>
          <w:color w:val="000000"/>
          <w:sz w:val="18"/>
        </w:rPr>
        <w:t>Restricted Shares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Restricted stock units activity under the 2018 Plan is summarized as follows:</w:t>
      </w:r>
    </w:p>
    <w:p>
      <w:pPr>
        <w:pStyle w:val="TextBody"/>
        <w:bidi w:val="0"/>
        <w:jc w:val="left"/>
        <w:rPr/>
      </w:pPr>
      <w:r>
        <w:rPr/>
        <w:t> </w:t>
      </w:r>
    </w:p>
    <w:tbl>
      <w:tblPr>
        <w:tblW w:w="6185" w:type="dxa"/>
        <w:jc w:val="left"/>
        <w:tblInd w:w="0" w:type="dxa"/>
        <w:tblLayout w:type="fixed"/>
        <w:tblCellMar>
          <w:top w:w="28" w:type="dxa"/>
          <w:left w:w="28" w:type="dxa"/>
          <w:bottom w:w="28" w:type="dxa"/>
          <w:right w:w="28" w:type="dxa"/>
        </w:tblCellMar>
      </w:tblPr>
      <w:tblGrid>
        <w:gridCol w:w="3106"/>
        <w:gridCol w:w="146"/>
        <w:gridCol w:w="167"/>
        <w:gridCol w:w="1018"/>
        <w:gridCol w:w="181"/>
        <w:gridCol w:w="146"/>
        <w:gridCol w:w="318"/>
        <w:gridCol w:w="912"/>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Number of</w:t>
              <w:br/>
              <w:t>Restricted</w:t>
              <w:br/>
              <w:t>Shares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120,820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37,200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36.29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(25,194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(6,075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126,751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14.22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Montserrat;sans-serif" w:hAnsi="Montserrat;sans-serif"/>
          <w:b/>
          <w:color w:val="000000"/>
          <w:sz w:val="18"/>
        </w:rPr>
        <w:t>Kodiak Sciences Inc.</w:t>
      </w:r>
      <w:r>
        <w:rPr>
          <w:rFonts w:ascii="Times New Roman" w:hAnsi="Times New Roman"/>
          <w:color w:val="000000"/>
          <w:sz w:val="20"/>
        </w:rPr>
        <w:t xml:space="preserve">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Notes to Unaudited Condensed Consolidated Financial Statements (Continued)</w:t>
      </w:r>
    </w:p>
    <w:p>
      <w:pPr>
        <w:pStyle w:val="TextBody"/>
        <w:bidi w:val="0"/>
        <w:jc w:val="left"/>
        <w:rPr/>
      </w:pPr>
      <w:r>
        <w:rPr/>
        <w:t> </w:t>
      </w:r>
    </w:p>
    <w:p>
      <w:pPr>
        <w:pStyle w:val="TextBody"/>
        <w:bidi w:val="0"/>
        <w:spacing w:before="60" w:after="283"/>
        <w:jc w:val="left"/>
        <w:rPr>
          <w:rFonts w:ascii="Montserrat;sans-serif" w:hAnsi="Montserrat;sans-serif"/>
          <w:b/>
          <w:i/>
          <w:color w:val="000000"/>
          <w:sz w:val="18"/>
        </w:rPr>
      </w:pPr>
      <w:r>
        <w:rPr>
          <w:rFonts w:ascii="Montserrat;sans-serif" w:hAnsi="Montserrat;sans-serif"/>
          <w:b/>
          <w:i/>
          <w:color w:val="000000"/>
          <w:sz w:val="18"/>
        </w:rPr>
        <w:t>Stock-Based Compensation Expense</w:t>
      </w:r>
    </w:p>
    <w:p>
      <w:pPr>
        <w:pStyle w:val="TextBody"/>
        <w:bidi w:val="0"/>
        <w:spacing w:before="120" w:after="283"/>
        <w:jc w:val="left"/>
        <w:rPr>
          <w:rFonts w:ascii="Times New Roman" w:hAnsi="Times New Roman"/>
          <w:sz w:val="20"/>
        </w:rPr>
      </w:pPr>
      <w:r>
        <w:rPr>
          <w:rFonts w:ascii="Montserrat;sans-serif" w:hAnsi="Montserrat;sans-serif"/>
          <w:color w:val="000000"/>
          <w:sz w:val="18"/>
        </w:rPr>
        <w:t>Stock-based compensation is classified in the condensed consolidated statements of operations and comprehensive loss as follows (in thousands):</w:t>
      </w:r>
      <w:r>
        <w:rPr>
          <w:rFonts w:ascii="Times New Roman" w:hAnsi="Times New Roman"/>
          <w:color w:val="000000"/>
          <w:sz w:val="20"/>
        </w:rPr>
        <w:t xml:space="preserve"> </w:t>
      </w:r>
    </w:p>
    <w:p>
      <w:pPr>
        <w:pStyle w:val="TextBody"/>
        <w:bidi w:val="0"/>
        <w:jc w:val="left"/>
        <w:rPr/>
      </w:pPr>
      <w:r>
        <w:rPr/>
        <w:t> </w:t>
      </w:r>
    </w:p>
    <w:tbl>
      <w:tblPr>
        <w:tblW w:w="9596" w:type="dxa"/>
        <w:jc w:val="left"/>
        <w:tblInd w:w="0" w:type="dxa"/>
        <w:tblLayout w:type="fixed"/>
        <w:tblCellMar>
          <w:top w:w="28" w:type="dxa"/>
          <w:left w:w="28" w:type="dxa"/>
          <w:bottom w:w="28" w:type="dxa"/>
          <w:right w:w="28" w:type="dxa"/>
        </w:tblCellMar>
      </w:tblPr>
      <w:tblGrid>
        <w:gridCol w:w="3031"/>
        <w:gridCol w:w="146"/>
        <w:gridCol w:w="308"/>
        <w:gridCol w:w="1045"/>
        <w:gridCol w:w="199"/>
        <w:gridCol w:w="199"/>
        <w:gridCol w:w="308"/>
        <w:gridCol w:w="1045"/>
        <w:gridCol w:w="146"/>
        <w:gridCol w:w="146"/>
        <w:gridCol w:w="281"/>
        <w:gridCol w:w="954"/>
        <w:gridCol w:w="181"/>
        <w:gridCol w:w="181"/>
        <w:gridCol w:w="281"/>
        <w:gridCol w:w="954"/>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5,836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12,025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15,572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5,772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11,738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15,960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11,608</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15,641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23,763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31,532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left"/>
        <w:rPr>
          <w:rFonts w:ascii="Montserrat;sans-serif" w:hAnsi="Montserrat;sans-serif"/>
          <w:color w:val="000000"/>
          <w:sz w:val="18"/>
        </w:rPr>
      </w:pPr>
      <w:r>
        <w:rPr>
          <w:rFonts w:ascii="Montserrat;sans-serif" w:hAnsi="Montserrat;sans-serif"/>
          <w:color w:val="000000"/>
          <w:sz w:val="18"/>
        </w:rPr>
        <w:t>The following is a summary of stock-based compensation expense by award type (in thousands):</w:t>
      </w:r>
    </w:p>
    <w:p>
      <w:pPr>
        <w:pStyle w:val="TextBody"/>
        <w:bidi w:val="0"/>
        <w:jc w:val="left"/>
        <w:rPr/>
      </w:pPr>
      <w:r>
        <w:rPr/>
        <w:t> </w:t>
      </w:r>
    </w:p>
    <w:tbl>
      <w:tblPr>
        <w:tblW w:w="9596" w:type="dxa"/>
        <w:jc w:val="left"/>
        <w:tblInd w:w="0" w:type="dxa"/>
        <w:tblLayout w:type="fixed"/>
        <w:tblCellMar>
          <w:top w:w="28" w:type="dxa"/>
          <w:left w:w="28" w:type="dxa"/>
          <w:bottom w:w="28" w:type="dxa"/>
          <w:right w:w="28" w:type="dxa"/>
        </w:tblCellMar>
      </w:tblPr>
      <w:tblGrid>
        <w:gridCol w:w="3031"/>
        <w:gridCol w:w="146"/>
        <w:gridCol w:w="308"/>
        <w:gridCol w:w="1045"/>
        <w:gridCol w:w="199"/>
        <w:gridCol w:w="199"/>
        <w:gridCol w:w="308"/>
        <w:gridCol w:w="1045"/>
        <w:gridCol w:w="146"/>
        <w:gridCol w:w="146"/>
        <w:gridCol w:w="281"/>
        <w:gridCol w:w="954"/>
        <w:gridCol w:w="181"/>
        <w:gridCol w:w="181"/>
        <w:gridCol w:w="281"/>
        <w:gridCol w:w="954"/>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LTPIP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8,513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17,970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25,641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2,547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5,087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5,130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Performance-based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383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56</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11,608</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15,641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23,763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31,532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Montserrat;sans-serif" w:hAnsi="Montserrat;sans-serif"/>
          <w:b/>
          <w:color w:val="000000"/>
          <w:sz w:val="18"/>
        </w:rPr>
      </w:pPr>
      <w:bookmarkStart w:id="15" w:name="fn7_segments"/>
      <w:bookmarkEnd w:id="15"/>
      <w:r>
        <w:rPr>
          <w:rFonts w:ascii="Montserrat;sans-serif" w:hAnsi="Montserrat;sans-serif"/>
          <w:b/>
          <w:color w:val="000000"/>
          <w:sz w:val="18"/>
        </w:rPr>
        <w:t>7. Segment Information</w:t>
      </w:r>
    </w:p>
    <w:p>
      <w:pPr>
        <w:pStyle w:val="TextBody"/>
        <w:bidi w:val="0"/>
        <w:spacing w:before="120" w:after="283"/>
        <w:jc w:val="left"/>
        <w:rPr>
          <w:rFonts w:ascii="Times New Roman" w:hAnsi="Times New Roman"/>
          <w:sz w:val="20"/>
        </w:rPr>
      </w:pPr>
      <w:r>
        <w:rPr>
          <w:rFonts w:ascii="Montserrat;sans-serif" w:hAnsi="Montserrat;sans-serif"/>
          <w:color w:val="000000"/>
          <w:sz w:val="18"/>
        </w:rPr>
        <w:t>The Company operates and manages its business as one</w:t>
      </w:r>
      <w:r>
        <w:rPr>
          <w:rFonts w:ascii="Times New Roman" w:hAnsi="Times New Roman"/>
          <w:color w:val="000000"/>
          <w:sz w:val="20"/>
        </w:rPr>
        <w:t xml:space="preserve"> </w:t>
      </w:r>
      <w:r>
        <w:rPr>
          <w:rFonts w:ascii="Montserrat;sans-serif" w:hAnsi="Montserrat;sans-serif"/>
          <w:color w:val="000000"/>
          <w:sz w:val="18"/>
        </w:rPr>
        <w:t>operating and reportable segment, which is the business of researching, developing and commercializing transformative therapeutics to treat a broad spectrum of retinal diseases. The chief operating decision maker (“CODM”) is the Chief Executive Officer. The CODM uses net loss to allocate resources and assess performance when making decisions on the timing and extent of the Company's development programs for its product candidates.</w:t>
      </w:r>
      <w:r>
        <w:rPr>
          <w:rFonts w:ascii="Times New Roman" w:hAnsi="Times New Roman"/>
          <w:color w:val="000000"/>
          <w:sz w:val="20"/>
        </w:rPr>
        <w:t xml:space="preserve"> </w:t>
      </w:r>
      <w:r>
        <w:rPr>
          <w:rFonts w:ascii="Montserrat;sans-serif" w:hAnsi="Montserrat;sans-serif"/>
          <w:color w:val="000000"/>
          <w:sz w:val="18"/>
        </w:rPr>
        <w:t>The assets are managed on a consolidated basis as reported on the condensed consolidated balance sheets.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significant expense categories within net loss are presented on the condensed consolidated statements of operations. Research and development expenses have been disaggregated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25"/>
        <w:gridCol w:w="146"/>
        <w:gridCol w:w="282"/>
        <w:gridCol w:w="959"/>
        <w:gridCol w:w="182"/>
        <w:gridCol w:w="182"/>
        <w:gridCol w:w="282"/>
        <w:gridCol w:w="959"/>
        <w:gridCol w:w="146"/>
        <w:gridCol w:w="146"/>
        <w:gridCol w:w="254"/>
        <w:gridCol w:w="998"/>
        <w:gridCol w:w="164"/>
        <w:gridCol w:w="164"/>
        <w:gridCol w:w="254"/>
        <w:gridCol w:w="863"/>
        <w:gridCol w:w="199"/>
      </w:tblGrid>
      <w:tr>
        <w:trPr/>
        <w:tc>
          <w:tcPr>
            <w:tcW w:w="40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Six Months Ended June 30,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Tarcocimab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9,406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19,351</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26,162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KSI-501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12,746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22,603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7,162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KSI-101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12,279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19,279</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2,364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ABC Platform and other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3,607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7,373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12,066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Payroll and 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13,672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14,109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27,851</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28,379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Facilities and 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4,373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8,173</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10,271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56,083</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42,760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104,630</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86,404</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Beginning in 2026, KSI-501 and KSI-101 program expenses are presented as separate line items given increased clinical activities within both programs. Previously, the two programs were presented as a single line item.</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Montserrat;sans-serif" w:hAnsi="Montserrat;sans-serif"/>
          <w:b/>
          <w:color w:val="000000"/>
          <w:sz w:val="18"/>
        </w:rPr>
        <w:t>Kodiak Sciences Inc.</w:t>
      </w:r>
      <w:r>
        <w:rPr>
          <w:rFonts w:ascii="Times New Roman" w:hAnsi="Times New Roman"/>
          <w:color w:val="000000"/>
          <w:sz w:val="20"/>
        </w:rPr>
        <w:t xml:space="preserve">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Notes to Unaudited Condensed Consolidated Financial Statements (Continued)</w:t>
      </w:r>
    </w:p>
    <w:p>
      <w:pPr>
        <w:pStyle w:val="TextBody"/>
        <w:bidi w:val="0"/>
        <w:jc w:val="left"/>
        <w:rPr/>
      </w:pPr>
      <w:r>
        <w:rPr/>
        <w:t> </w:t>
      </w:r>
    </w:p>
    <w:p>
      <w:pPr>
        <w:pStyle w:val="TextBody"/>
        <w:bidi w:val="0"/>
        <w:spacing w:before="60" w:after="283"/>
        <w:jc w:val="left"/>
        <w:rPr>
          <w:rFonts w:ascii="Montserrat;sans-serif" w:hAnsi="Montserrat;sans-serif"/>
          <w:b/>
          <w:color w:val="000000"/>
          <w:sz w:val="18"/>
        </w:rPr>
      </w:pPr>
      <w:bookmarkStart w:id="16" w:name="fn8_nlps"/>
      <w:bookmarkEnd w:id="16"/>
      <w:r>
        <w:rPr>
          <w:rFonts w:ascii="Montserrat;sans-serif" w:hAnsi="Montserrat;sans-serif"/>
          <w:b/>
          <w:color w:val="000000"/>
          <w:sz w:val="18"/>
        </w:rPr>
        <w:t>8. Net Loss per Common Share</w:t>
      </w:r>
    </w:p>
    <w:p>
      <w:pPr>
        <w:pStyle w:val="TextBody"/>
        <w:bidi w:val="0"/>
        <w:spacing w:before="120" w:after="283"/>
        <w:jc w:val="left"/>
        <w:rPr>
          <w:rFonts w:ascii="Times New Roman" w:hAnsi="Times New Roman"/>
          <w:sz w:val="20"/>
        </w:rPr>
      </w:pPr>
      <w:r>
        <w:rPr>
          <w:rFonts w:ascii="Montserrat;sans-serif" w:hAnsi="Montserrat;sans-serif"/>
          <w:color w:val="000000"/>
          <w:sz w:val="18"/>
        </w:rPr>
        <w:t>The following common share equivalents were excluded from the computation of diluted net loss per common share for the periods presented because their inclusion would have been antidilutive:</w:t>
      </w:r>
      <w:r>
        <w:rPr>
          <w:rFonts w:ascii="Times New Roman" w:hAnsi="Times New Roman"/>
          <w:color w:val="000000"/>
          <w:sz w:val="20"/>
        </w:rPr>
        <w:t xml:space="preserve"> </w:t>
      </w:r>
    </w:p>
    <w:p>
      <w:pPr>
        <w:pStyle w:val="TextBody"/>
        <w:bidi w:val="0"/>
        <w:jc w:val="left"/>
        <w:rPr/>
      </w:pPr>
      <w:r>
        <w:rPr/>
        <w:t> </w:t>
      </w:r>
    </w:p>
    <w:tbl>
      <w:tblPr>
        <w:tblW w:w="6818" w:type="dxa"/>
        <w:jc w:val="left"/>
        <w:tblInd w:w="0" w:type="dxa"/>
        <w:tblLayout w:type="fixed"/>
        <w:tblCellMar>
          <w:top w:w="28" w:type="dxa"/>
          <w:left w:w="28" w:type="dxa"/>
          <w:bottom w:w="28" w:type="dxa"/>
          <w:right w:w="28" w:type="dxa"/>
        </w:tblCellMar>
      </w:tblPr>
      <w:tblGrid>
        <w:gridCol w:w="2551"/>
        <w:gridCol w:w="146"/>
        <w:gridCol w:w="194"/>
        <w:gridCol w:w="1577"/>
        <w:gridCol w:w="194"/>
        <w:gridCol w:w="194"/>
        <w:gridCol w:w="194"/>
        <w:gridCol w:w="1577"/>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Three and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21,532,097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19,919,750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Unvested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126,751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117,892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26,899</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76,799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21,685,747</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20,114,441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7" w:name="i_item2"/>
      <w:bookmarkEnd w:id="17"/>
      <w:r>
        <w:rPr>
          <w:rFonts w:ascii="Montserrat;sans-serif" w:hAnsi="Montserrat;sans-serif"/>
          <w:b/>
          <w:color w:val="000000"/>
          <w:sz w:val="18"/>
        </w:rPr>
        <w:t xml:space="preserve">Item 2. Management’s Discussion and Analysis of </w:t>
      </w:r>
      <w:bookmarkStart w:id="18" w:name="item_2_managements_discussion_analysis_f"/>
      <w:bookmarkEnd w:id="18"/>
      <w:r>
        <w:rPr>
          <w:rFonts w:ascii="Montserrat;sans-serif" w:hAnsi="Montserrat;sans-serif"/>
          <w:b/>
          <w:color w:val="000000"/>
          <w:sz w:val="18"/>
        </w:rPr>
        <w:t>Financial Condition and Results of Operations.</w:t>
      </w:r>
    </w:p>
    <w:p>
      <w:pPr>
        <w:pStyle w:val="TextBody"/>
        <w:bidi w:val="0"/>
        <w:spacing w:before="120" w:after="283"/>
        <w:jc w:val="left"/>
        <w:rPr>
          <w:rFonts w:ascii="Montserrat;sans-serif" w:hAnsi="Montserrat;sans-serif"/>
          <w:i/>
          <w:color w:val="000000"/>
          <w:sz w:val="18"/>
        </w:rPr>
      </w:pPr>
      <w:r>
        <w:rPr>
          <w:rFonts w:ascii="Montserrat;sans-serif" w:hAnsi="Montserrat;sans-serif"/>
          <w:i/>
          <w:color w:val="000000"/>
          <w:sz w:val="18"/>
        </w:rPr>
        <w:t>You should read the following discussion and analysis of our financial condition and results of operations together with our unaudited condensed consolidated financial statements and the related notes included elsewhere in this Quarterly Report and with our audited financial statements and related notes thereto and management’s discussion and analysis of financial condition and results of operations for the year ended December 31, 2025, included in our Annual Report on Form 10-K filed with the Securities and Exchange Commission, or the SEC, on March 31, 2026. This discussion and analysis and other parts of this Quarterly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“Part II, Item 1A — Risk Factors” and elsewhere in this Quarterly Report.</w:t>
      </w:r>
    </w:p>
    <w:p>
      <w:pPr>
        <w:pStyle w:val="TextBody"/>
        <w:bidi w:val="0"/>
        <w:jc w:val="left"/>
        <w:rPr>
          <w:rFonts w:ascii="Montserrat;sans-serif" w:hAnsi="Montserrat;sans-serif"/>
          <w:b/>
          <w:color w:val="000000"/>
          <w:sz w:val="18"/>
        </w:rPr>
      </w:pPr>
      <w:r>
        <w:rPr>
          <w:rFonts w:ascii="Montserrat;sans-serif" w:hAnsi="Montserrat;sans-serif"/>
          <w:b/>
          <w:color w:val="000000"/>
          <w:sz w:val="18"/>
        </w:rPr>
        <w:t>Overview</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Kodiak Sciences (“we”, the “Company” or “Kodiak”) is a precommercial retina focused biotechnology company committed to researching, developing and commercializing transformative therapeutics. We are focused on bringing new science to the design and manufacture of next generation retinal medicines to prevent and treat the leading causes of blindness globally. Our Antibody Biopolymer Conjugate (ABC) Platform uses molecular engineering to merge the fields of protein-based and chemistry-based therapies and has been at the core of our discovery engine. We are developing a portfolio of three late-stage clinical programs, two of which are derived from our ABC platform and one which is platform-independent.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lead investigational medicine, Zenkuda (tarcocimab), is an anti-VEGF antibody biopolymer conjugate under development for the treatment of high prevalence retinal vascular diseases. Zenkuda is being developed as a mainstay intravitreal biologic monotherapy that provides high immediacy, driven by the enhanced formulation, and high durability, driven by the ABC platform and our science of durability, with the ultimate objective of providing, once approved, a flexible 1-month through 6-month label for all patients with retinal vascular disease (treatment-naïve, treatment-experienced, mild patients and severe patients). Zenkuda has completed four successful Phase 3 pivotal studies: the Phase 3 GLOW1 and GLOW2 studies in diabetic retinopathy (DR), the Phase 3 BEACON study in retinal vein occlusion (RVO) and the Phase 3 DAYLIGHT study in wet AMD. Zenkuda is currently being studied in one Phase 3 clinical trial, DAYBREAK in patients with wet AMD. DAYBREAK has completed enrollment and topline data for the one-year primary endpoint are expected in September 2026. We intend to file a Biologics License Application (BLA) in DR, RVO and wet AMD in 2026.</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KSI-501, our second investigational medicine, is a first-in-class anti-IL-6, VEGF-trap bispecific therapy built on our ABC platform and is being developed for high prevalence retinal vascular diseases to address the leading unmet needs of extended durability and targeting disease biology beyond VEGF for differentiated efficacy. KSI-501 is designed to provide high immediacy/efficacy and high durability. KSI-501 is currently being studied in the Phase 3 DAYBREAK study in patients with wet AMD. DAYBREAK has completed enrollment and topline data for the one-year primary endpoint are expected in September 2026. In August 2026, we also announced the initiation of the Phase 3 ALTO study of KSI-501 in patients with Diabetic Macular Edema (DME).</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KSI-101, our third investigational medicine, is a high strength (100 mg/mL) antibody-based therapy with a bispecific mechanism of action targeting both interleukin-6 (IL-6) and VEGF. We are developing KSI-101 for patients with macular edema (retinal fluid) secondary to inflammation (MESI). Data from our dose-finding Phase 1b APEX study demonstrated robust anatomical and visual responses across MESI patients. More than half of patients achieved ≥15-letter gains in best corrected visual acuity (BCVA), with additional benefit at higher dose levels. Rapid vision improvements and anatomical response was observed with 10-letter gains by Week 4 in top dose groups and OCT central subfield thickness (CST) &lt;325 microns achieved as early as Week 1 in top dose groups. Continued anatomical improvement was observed over time with &gt;90% resolution of intraretinal (IRF) and subretinal fluid (SRF) by Week 8 and 20/25 Snellen visual acuity by Week 20. In top dose groups, ≥90% achieved complete absence of IRF and SRF, indicating retinal dryness and normalization of retinal architecture. KSI-101 also continued to be well tolerated with a favorable safety profile. The top two dose levels in APEX have been advanced into the Phase 3 pivotal studies, PEAK and PINNACLE. Enrollment of the first 300-patient cohort in the PEAK trial supporting Pivotal Analysis 1 has completed and topline results are expected in December 2026. Completion of enrollment in the second pivotal cohort evaluating 600 subjects across the PEAK and PINNACLE studies is expected in 4Q 2026, with topline clinical data release anticipated in 2Q 2027.</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With regards to our pipeline programs, dual cytokine-targeting bispecific antibody programs KSI-102 (anti-TNFa/IL-6) and KSI-103 (anti-IL-1/IL-6) continue to progress through pre-IND activities, targeting diseases of ocular inflammation. Retina duet programs in glaucoma and geographic atrophy (GA) built with ABC platform continue to progress.</w:t>
      </w:r>
    </w:p>
    <w:p>
      <w:pPr>
        <w:pStyle w:val="TextBody"/>
        <w:bidi w:val="0"/>
        <w:spacing w:before="120" w:after="283"/>
        <w:jc w:val="center"/>
        <w:rPr>
          <w:rFonts w:ascii="Montserrat;sans-serif" w:hAnsi="Montserrat;sans-serif"/>
          <w:color w:val="000000"/>
          <w:sz w:val="20"/>
        </w:rPr>
      </w:pPr>
      <w:r>
        <w:rPr>
          <w:rFonts w:ascii="Montserrat;sans-serif" w:hAnsi="Montserrat;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VETi (Visual Engagement Technology and imager) program has achieved significant advancements in hardware, software and algorithms development. VETi is our AI- and machine-learning-enabled wearable headset with applications in retina care alongside broader opportunities in identity security and cognitive sciences.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have a dedicated commercial-scale drug substance manufacturing facility that was custom-designed and built in collaboration with Lonza. We believe these manufacturing capabilities could position us for potential market share capture if tarcocimab and KSI-501 are approved.</w:t>
      </w:r>
    </w:p>
    <w:p>
      <w:pPr>
        <w:pStyle w:val="TextBody"/>
        <w:bidi w:val="0"/>
        <w:spacing w:before="120" w:after="283"/>
        <w:jc w:val="left"/>
        <w:rPr>
          <w:rFonts w:ascii="Montserrat;sans-serif" w:hAnsi="Montserrat;sans-serif"/>
          <w:b/>
          <w:color w:val="000000"/>
          <w:sz w:val="18"/>
        </w:rPr>
      </w:pPr>
      <w:r>
        <w:rPr>
          <w:rFonts w:ascii="Montserrat;sans-serif" w:hAnsi="Montserrat;sans-serif"/>
          <w:b/>
          <w:color w:val="000000"/>
          <w:sz w:val="18"/>
        </w:rPr>
        <w:t>Recent Updates</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Zenkuda (tarcocimab) Clinical Program Update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Zenkuda is an investigational anti-VEGF therapy built on our proprietary ABC Platform. Zenkuda has a mean ocular half-life in humans of 20 days, approximately three times longer than approved anti-VEGF therapies, and is designed to maintain effective drug levels in ocular tissues for longer. Zenkuda is being developed as a mainstay intravitreal biologic monotherapy that provides high immediacy, driven by the enhanced formulation, and high durability, driven by the ABC platform and our science of durability, with the ultimate objective of providing, once approved, a flexible 1-month through 6-month label for all patients with retinal vascular disease (treatment-naïve, treatment-experienced, mild patients, and severe patients).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Zenkuda has completed four successful Phase 3 pivotal studies: the Phase 3 GLOW1 and GLOW2 studies in diabetic retinopathy (DR), the Phase 3 BEACON study in retinal vein occlusion (RVO), and the Phase 3 DAYLIGHT study in wet AMD. In the GLOW1 and GLOW2 studies, Zenkuda successfully treated DR patients and prevented disease progression with 100% of patients on extended 6-month dosing at Year 1. In the BEACON study, during the first 6 months, Zenkuda-treated patients were dosed at 8-week intervals (as opposed to 4-week intervals for aflibercept). In the second 6 months, identical retreatment criteria were used for the Zenkuda and aflibercept arms, and nearly half of Zenkuda patients did not require any treatment while achieving similar vision and anatomical outcomes as the aflibercept group at one year. In the DAYLIGHT study, Zenkuda demonstrated non-inferior efficacy results and compelling safety and tolerability at a once-monthly dosing interval. Zenkuda is currently being studied in the Phase 3 DAYBREAK study in wet AMD, the final anticipated Phase 3 study in the program. In DAYBREAK, patients are treated on an every 1-month through every 6-month treatment interval, depending on an AI-driven assessment of disease activity. Topline results for the DAYBREAK one-year primary endpoint are expected in September 2026.</w:t>
      </w:r>
      <w:r>
        <w:rPr>
          <w:rFonts w:ascii="Times New Roman" w:hAnsi="Times New Roman"/>
          <w:color w:val="000000"/>
          <w:sz w:val="20"/>
        </w:rPr>
        <w:t xml:space="preserve"> </w:t>
      </w:r>
    </w:p>
    <w:p>
      <w:pPr>
        <w:pStyle w:val="TextBody"/>
        <w:bidi w:val="0"/>
        <w:spacing w:before="120" w:after="283"/>
        <w:jc w:val="left"/>
        <w:rPr>
          <w:rFonts w:ascii="Montserrat;sans-serif" w:hAnsi="Montserrat;sans-serif"/>
          <w:i/>
          <w:color w:val="000000"/>
          <w:sz w:val="18"/>
        </w:rPr>
      </w:pPr>
      <w:r>
        <w:rPr>
          <w:rFonts w:ascii="Montserrat;sans-serif" w:hAnsi="Montserrat;sans-serif"/>
          <w:i/>
          <w:color w:val="000000"/>
          <w:sz w:val="18"/>
        </w:rPr>
        <w:t>About GLOW1 and GLOW2</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GLOW1 and GLOW2 were prospective, randomized, double-masked, sham-controlled, multicenter Phase 3 studies evaluating Zenkuda 5mg in participants with diabetic retinopathy. Both studies employed extended-interval dosing regimens with an ultimate treatment interval of every six months. The primary endpoint was the proportion of eyes improving by ≥2 steps on the Diabetic Retinopathy Severity Scale (DRSS) from baseline at Week 48. Additional outcome measures include the proportion of eyes developing a sight-threatening complication of diabetic retinopathy and the proportion of eyes improving ≥3 steps on DRSS from baseline at Week 48.</w:t>
      </w:r>
    </w:p>
    <w:p>
      <w:pPr>
        <w:pStyle w:val="TextBody"/>
        <w:bidi w:val="0"/>
        <w:spacing w:before="120" w:after="283"/>
        <w:jc w:val="left"/>
        <w:rPr>
          <w:rFonts w:ascii="Times New Roman" w:hAnsi="Times New Roman"/>
          <w:sz w:val="20"/>
        </w:rPr>
      </w:pPr>
      <w:r>
        <w:rPr>
          <w:rFonts w:ascii="Montserrat;sans-serif" w:hAnsi="Montserrat;sans-serif"/>
          <w:color w:val="000000"/>
          <w:sz w:val="18"/>
        </w:rPr>
        <w:t>In the GLOW1 study, patients were randomized 1:1 to receive either sham injections or Zenkuda via intravitreal injection at baseline, Week 8, Week 20 and Week 44, for a planned four injections in year one. The Phase 3 GLOW1 study demonstrated that, with extended 6-month dosing in every patient, Zenkuda can achieve strong efficacy both in treating existing disease (primary endpoint) and preventing vision threatening complications and disease progression (key secondary endpoint). In GLOW1, Zenkuda met its primary endpoint of the proportion of patients with at least a 2-step improvement on the DRSS score with 41.1% of Zenkuda-treated patients demonstrating at least a 2-step improvement versus 1.4% of patients in the sham group, a 29-fold increased response rate ratio (p-value less than 0.0001). Zenkuda also met all key secondary endpoints, including greater reductions in the proportion of patients developing sight-threatening complications (such as diabetic macular edema and proliferative diabetic retinopathy) versus sham, demonstrating an 89% decreased risk (2.3% with Zenkuda versus 21.0% with sham, p-value &lt; 0.0001).</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Phase 3 GLOW2 study was designed as a confirmatory study to the Phase 3 GLOW1 study. Patients were randomized 1:1 to receive either sham injections or Zenkuda via intravitreal injection at baseline, Week 4, Week 8, Week 20 and Week 44, for a planned five injections in year one. The Phase 3 GLOW2 study confirmed findings from GLOW1 that, with extended 6-month dosing in all Zenkuda-treated patients, Zenkuda can achieve strong efficacy both in treating existing disease (primary endpoint) and preventing vision threatening complications and disease progression (key secondary endpoint). In GLOW2, Zenkuda met its primary endpoint of the proportion of patients with at least a 2-step improvement on the DRSS, with 62.5% of Zenkuda-treated patients demonstrating at least a 2-step improvement versus 3.3% of patients in the sham group, a 19-fold increased response rate ratio (p-value &lt; 0.0001). Zenkuda also met all key secondary endpoints, including greater reductions in the proportion of patients developing sight-threatening complications (such as DME and proliferative DR), versus sham, demonstrating an 85% decreased risk (2.4% with Zenkuda versus 15.8% with sham, p-value ≤ 0.0001).</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i/>
          <w:color w:val="000000"/>
          <w:sz w:val="18"/>
        </w:rPr>
      </w:pPr>
      <w:r>
        <w:rPr>
          <w:rFonts w:ascii="Montserrat;sans-serif" w:hAnsi="Montserrat;sans-serif"/>
          <w:i/>
          <w:color w:val="000000"/>
          <w:sz w:val="18"/>
        </w:rPr>
        <w:t>About DAYBREAK (and Zenkuda)</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Phase 3 DAYBREAK study is a non-inferiority study evaluating parallel investigational arms of Zenkuda and KSI-501 against active comparator aflibercept. The DAYBREAK study incorporates learnings from prior pivotal trials of Zenkuda and was designed to maximize the probability of meeting the primary endpoint of non-inferiority in visual acuity gains. Patients randomized to Zenkuda will receive individualized dosing every 4 to 24 weeks on an as needed basis following four monthly loading doses. Patients randomized to aflibercept will be dosed per label. The individualized dosing of Zenkuda is determined by a treat-to-dryness proactive approach using the presence of retinal fluid as a disease activity marker, which resembles retina specialists' practice and optimizes each patient's treatment, instead of using a combination of central subfield thickness and vision loss. Specific objectives for Zenkuda in DAYBREAK are (1) to assess safety, (2) to meet the primary endpoint of non-inferiority of best corrected visual acuity, (3) to explore the strength of fluid control through the loading phase, and (4) to demonstrate a differentiated durability profile. General objectives for Zenkuda in DAYBREAK are to strengthen its competitive position in wet AMD and bolster the possible regulatory application package for the program. DAYBREAK was designed to showcase the potential for Zenkuda to be a mainstay biologic for VEGF-driven retinal vascular diseases with both a strong efficacy/immediacy (driven by its enhanced formulation) and a strong durability (driven by its ABC design and science of durability). Topline data for the one-year primary endpoint in DAYBREAK are expected in September 2026.</w:t>
      </w:r>
    </w:p>
    <w:p>
      <w:pPr>
        <w:pStyle w:val="TextBody"/>
        <w:bidi w:val="0"/>
        <w:spacing w:before="120" w:after="283"/>
        <w:jc w:val="left"/>
        <w:rPr>
          <w:rFonts w:ascii="Montserrat;sans-serif" w:hAnsi="Montserrat;sans-serif"/>
          <w:i/>
          <w:color w:val="000000"/>
          <w:sz w:val="18"/>
        </w:rPr>
      </w:pPr>
      <w:r>
        <w:rPr>
          <w:rFonts w:ascii="Montserrat;sans-serif" w:hAnsi="Montserrat;sans-serif"/>
          <w:i/>
          <w:color w:val="000000"/>
          <w:sz w:val="18"/>
        </w:rPr>
        <w:t>Zenkuda and BLA Planning</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plan to submit a BLA for Zenkuda supported by the confirmatory GLOW1 and GLOW2 studies in diabetic retinopathy, the BEACON Study in retinal vein occlusion, and the DAYLIGHT Study in wet AMD and intend to work with the FDA on timing of the submission in order to include the ongoing Phase 3 DAYBREAK wet AMD study, if successful, in the BLA.</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KSI-501 Clinical Program Update</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KSI-501 is an investigational anti-IL-6, VEGF-trap bispecific therapy built on the ABC platform and is being developed for high prevalence retinal vascular diseases to address the leading unmet needs of extended durability and targeting disease biology beyond VEGF for differentiated efficacy. KSI-501 is designed to provide high immediacy/efficacy, driven by the enhanced formulation, and high durability, driven by the ABC platform and our science of durability.</w:t>
      </w:r>
    </w:p>
    <w:p>
      <w:pPr>
        <w:pStyle w:val="TextBody"/>
        <w:bidi w:val="0"/>
        <w:spacing w:before="120" w:after="283"/>
        <w:jc w:val="left"/>
        <w:rPr>
          <w:rFonts w:ascii="Times New Roman" w:hAnsi="Times New Roman"/>
          <w:sz w:val="20"/>
        </w:rPr>
      </w:pPr>
      <w:r>
        <w:rPr>
          <w:rFonts w:ascii="Montserrat;sans-serif" w:hAnsi="Montserrat;sans-serif"/>
          <w:color w:val="000000"/>
          <w:sz w:val="18"/>
        </w:rPr>
        <w:t>We have advanced KSI-501 into the registrational Phase 3 study DAYBREAK to evaluate its efficacy and safety in wet AMD. DAYBREAK uses KSI-501's enhanced 50 mg/mL formulation containing both conjugated and unconjugated antibody that is intended to balance immediacy and durability. DAYBREAK has completed enrollment. Topline data for the one-year primary endpoint in DAYBREAK are expected in September 2026.</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have also advanced KSI-501 into the registrational Phase 3 ALTO study designed to demonstrate the superiority of bispecific KSI-501 (anti-VEGF, anti-IL-6) versus monospecific aflibercept (anti-VEGF) in patients with diabetic macular edema. The ALTO study is now enrolling patients.</w:t>
      </w:r>
    </w:p>
    <w:p>
      <w:pPr>
        <w:pStyle w:val="TextBody"/>
        <w:bidi w:val="0"/>
        <w:spacing w:before="120" w:after="283"/>
        <w:jc w:val="left"/>
        <w:rPr>
          <w:rFonts w:ascii="Montserrat;sans-serif" w:hAnsi="Montserrat;sans-serif"/>
          <w:i/>
          <w:color w:val="000000"/>
          <w:sz w:val="18"/>
        </w:rPr>
      </w:pPr>
      <w:r>
        <w:rPr>
          <w:rFonts w:ascii="Montserrat;sans-serif" w:hAnsi="Montserrat;sans-serif"/>
          <w:i/>
          <w:color w:val="000000"/>
          <w:sz w:val="18"/>
        </w:rPr>
        <w:t>About DAYBREAK (and KSI-501)</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DAYBREAK study is a non-inferiority study evaluating parallel investigational arms of KSI-501 and Zenkuda against active comparator aflibercept. Patients randomized to KSI-501 will receive fixed every 8-week dosing with additional individualized dosing (up to monthly dosing) on an as needed basis after four monthly loading doses. Patients randomized to aflibercept will be dosed per label. Using the same treat-to-dryness approach as Zenkuda, coupled with fixed intensive proactive dosing, our goal is to maximize both the probability of meeting the primary endpoint as well as the probability of demonstrating additional efficacy benefits. The primary endpoint is non-inferiority in change in visual acuity from baseline to the average of Week 40, 44 and 48. The objective for KSI-501 in DAYBREAK is to explore the efficacy potential of bispecific IL-6 and VEGF inhibition in a broad treatment-naïve wet AMD population. DAYBREAK has completed enrollment. Topline data for the one-year primary endpoint in DAYBREAK are expected in September 2026.</w:t>
      </w:r>
    </w:p>
    <w:p>
      <w:pPr>
        <w:pStyle w:val="TextBody"/>
        <w:bidi w:val="0"/>
        <w:spacing w:before="120" w:after="283"/>
        <w:jc w:val="left"/>
        <w:rPr>
          <w:rFonts w:ascii="Montserrat;sans-serif" w:hAnsi="Montserrat;sans-serif"/>
          <w:i/>
          <w:color w:val="000000"/>
          <w:sz w:val="18"/>
        </w:rPr>
      </w:pPr>
      <w:r>
        <w:rPr>
          <w:rFonts w:ascii="Montserrat;sans-serif" w:hAnsi="Montserrat;sans-serif"/>
          <w:i/>
          <w:color w:val="000000"/>
          <w:sz w:val="18"/>
        </w:rPr>
        <w:t>About ALTO</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ALTO Study is a global, multicenter, randomized, double-masked, active comparator-controlled Phase 3 study evaluating the efficacy and safety of intravitreal KSI-501 5 mg compared with intravitreal aflibercept 2 mg in patients with visual impairment secondary to center-involved DME. Approximately 910 patients, treatment-naïve or previously treated, will be randomized 5:3:5 to one of three arms: (A) KSI-501 5 mg every 8 weeks, with monthly assessment for additional individualized dosing, following six monthly loading doses; (B) KSI-501 5 mg on an individualized regimen of every 4 to 24 weeks, following six monthly loading doses; and (C) aflibercept 2 mg every 8 weeks, following five monthly loading doses.</w:t>
      </w:r>
    </w:p>
    <w:p>
      <w:pPr>
        <w:pStyle w:val="TextBody"/>
        <w:bidi w:val="0"/>
        <w:spacing w:before="120" w:after="283"/>
        <w:jc w:val="left"/>
        <w:rPr>
          <w:rFonts w:ascii="Times New Roman" w:hAnsi="Times New Roman"/>
          <w:sz w:val="20"/>
        </w:rPr>
      </w:pPr>
      <w:r>
        <w:rPr>
          <w:rFonts w:ascii="Montserrat;sans-serif" w:hAnsi="Montserrat;sans-serif"/>
          <w:color w:val="000000"/>
          <w:sz w:val="18"/>
        </w:rPr>
        <w:t>The primary endpoint is the mean change in best-corrected visual acuity (BCVA) from baseline to the average of Week 48 and Week 52. The key secondary endpoint is the proportion of patients improving two or more steps on the</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DRSS from baseline at Week 48. Additional secondary and exploratory endpoints evaluate visual function, retinal anatomy, treatment burden and durability, and safety. Participants will be treated and followed for approximately 96 weeks. The ALTO study is now enrolling patients.</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KSI-101 Clinical Program Update</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KSI-101 is a high strength (100 mg/mL) bispecific protein targeting IL-6 and VEGF. We are developing KSI-101 for patients with MESI. MESI is a heterogeneous group of diseases that clinically present with macular edema and visual impairment which are caused by a common pathophysiology–inflammation and blood retinal barrier disruption. The clinical presentation of retinal fluid and visual impairment is a mainstay in these patients, irrespective of the location of the inflammation inside of the eye (anterior, intermediate, posterior or all intraocular compartments) or the specific etiology (defined autoimmune associated, idiopathic, post-procedural, or inflammatory choroidal neovascularization).</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Currently there are no available intravitreal biologic therapies addressing the spectrum of MESI diseases. We believe that MESI represents a new market segment separate from the established anti-VEGF market.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completed dose-finding Phase 1b study APEX evaluated KSI-101 in two cohorts, Cohort 1 in patients with DME and Cohort 2 in patients with MESI. APEX demonstrated that KSI-101 provides meaningful visual and anatomical gains in both DME and MESI and that KSI-101 is well tolerated. Meaningful treatment responses were seen in the MESI population, irrespective of the location of inflammation and specific MESI etiology, opening up the potential for KSI-101 to become a unifying treatment for this patient population.</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Based on APEX, the top two dose levels tested were selected to advance into the Phase 3 studies, PEAK and PINNACLE. Enrollment of the first 300-patient cohort in the PEAK trial supporting Pivotal Analysis 1 has completed and topline results are expected in December 2026. Completion of enrollment in the second pivotal cohort evaluating 600 subjects across the PEAK and PINNACLE studies is expected in 4Q 2026, with topline clinical data release anticipated in 2Q 2027.</w:t>
      </w:r>
    </w:p>
    <w:p>
      <w:pPr>
        <w:pStyle w:val="TextBody"/>
        <w:bidi w:val="0"/>
        <w:spacing w:before="120" w:after="283"/>
        <w:jc w:val="left"/>
        <w:rPr>
          <w:rFonts w:ascii="Montserrat;sans-serif" w:hAnsi="Montserrat;sans-serif"/>
          <w:i/>
          <w:color w:val="000000"/>
          <w:sz w:val="18"/>
        </w:rPr>
      </w:pPr>
      <w:r>
        <w:rPr>
          <w:rFonts w:ascii="Montserrat;sans-serif" w:hAnsi="Montserrat;sans-serif"/>
          <w:i/>
          <w:color w:val="000000"/>
          <w:sz w:val="18"/>
        </w:rPr>
        <w:t>About PEAK and PINNACLE</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PEAK and PINNACLE studies are superiority studies evaluating two dose levels of KSI-101 (5 mg and 10 mg) compared to sham treatment in patients with MESI. PEAK and PINNACLE are identical in study design with key differences in patient population. PEAK includes patients with more severe disease (moderate to severe macular edema and vision impairment) and PINNACLE includes patients with milder disease (mild macular edema and any vision impairment), as well as patients with moderate to severe macular edema with good vision. Together, PEAK and PINNACLE are designed to enroll complementary patient populations and to cover a wide spectrum of MESI patients.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Patients randomized to the KSI-101 treatment arms will receive fixed monthly dosing for 6 doses (from Day 1 to Week 20), with subsequent individualized dosing (up to monthly dosing) for 6 additional visits (Week 24 to Week 44). Patients in the sham arm will receive monthly sham dosing for 6 doses followed by sham PRN. The primary and key secondary endpoints will be evaluated at Week 24. PEAK and PINNACLE are now actively enrolling patients. Topline data readouts for Pivotal Analysis 1 (PEAK patients 1 – 300) and Pivotal Analysis 2 (PEAK patients 301 – 600 and PINNACLE patients 1 – 300) are expected in December 2026 and 2Q 2027, respectively.</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Pipeline Programs</w:t>
      </w:r>
    </w:p>
    <w:p>
      <w:pPr>
        <w:pStyle w:val="TextBody"/>
        <w:bidi w:val="0"/>
        <w:spacing w:before="120" w:after="283"/>
        <w:jc w:val="left"/>
        <w:rPr>
          <w:rFonts w:ascii="Times New Roman" w:hAnsi="Times New Roman"/>
          <w:sz w:val="20"/>
        </w:rPr>
      </w:pPr>
      <w:r>
        <w:rPr>
          <w:rFonts w:ascii="Montserrat;sans-serif" w:hAnsi="Montserrat;sans-serif"/>
          <w:color w:val="000000"/>
          <w:sz w:val="18"/>
        </w:rPr>
        <w:t>Our pipeline programs, dual cytokine-targeting bispecific antibody programs KSI-102 (anti-TNFa/IL-6) and KSI-103 (anti-IL-1/IL-6) continue to progress through pre-IND activities, targeting diseases of ocular inflammation and following on our development activities with KSI-101 for the treatment of macular edema secondary to inflammation.</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are advancing our platform technology to embed small molecules and other active pharmaceutical ingredients (“API”) into our proprietary biopolymer backbone to enable high drug-antibody-ratio (“DAR”) medicines. The diverse APIs are designed to be released over time to achieve targeted, multi-specific and tailored modulation of biological pathways. The unique combination of high DAR and tailored therapeutic benefit offers potential for broad application to multifactorial systemic and ocular diseases and builds directly from our Antibody Biopolymer Conjugate technology and its 15 years of design, development and manufacturing experience. We call this platform extension our Antibody Biopolymer Conjugate Drug, or ABCD Platform, because we are extending our platform capabilities to include the conjugation of small molecule drugs whereas historically we primarily conjugated biologics such as antibodies.</w:t>
      </w:r>
    </w:p>
    <w:p>
      <w:pPr>
        <w:pStyle w:val="TextBody"/>
        <w:bidi w:val="0"/>
        <w:spacing w:before="120" w:after="283"/>
        <w:jc w:val="left"/>
        <w:rPr>
          <w:rFonts w:ascii="Times New Roman" w:hAnsi="Times New Roman"/>
          <w:sz w:val="20"/>
        </w:rPr>
      </w:pPr>
      <w:r>
        <w:rPr>
          <w:rFonts w:ascii="Montserrat;sans-serif" w:hAnsi="Montserrat;sans-serif"/>
          <w:color w:val="000000"/>
          <w:sz w:val="18"/>
        </w:rPr>
        <w:t>One program is for the treatment of glaucoma, embedding in the biopolymer backbone (i) an NLRP3 small molecule inhibitor, and (ii) a second small molecule that lowers intraocular pressure (“IOP”). The NLRP3 inflammasome is an intracellular complex that drives inflammation and cell death and is known to play a key role in glaucoma progression. The goal of this duet program is to create an intravitreally injected therapy that delivers two mechanisms of action (“MOA”) in a sustained release fashion, to fulfill the unmet needs in the glaucoma field for a long-durability therapy that delivers MOAs beyond IOP lowering and has the potential for quarterly dosing.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second program is for the treatment of geographic atrophy (GA). There are two approved therapies, both</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complement inhibitors, and they require monthly or every other month intravitreal injections and neither sufficiently halts disease progression. This program explores the potential to embed in the biopolymer backbone (i) a macrocyclic peptide inhibitor of the complement pathway, and (ii) an NLRP3 small molecule inhibitor. The NLRP3 inflammasome is known to play a key role in AMD disease biology. The objective of this duet program is to create an intravitreally injected ABCD platform-enabled therapy with a dual mechanism of action to achieve better efficacy and extended durability, for quarterly dosing, as compared to currently approved therapies for GA, which are based on a single mechanism of action and are dosed monthly or every other month.</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retina duet programs in glaucoma and GA built with our ABC platform continue to progress towards IND.</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Digital Health Platform Development</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have made tremendous progress with our digital health and artificial intelligence capabilities through the VETi (Visual Engagement Technology and Imager) platform. Progress across hardware, software and machine learning is enabling the development of an AI-powered wearable headset with applications in retina care, alongside broader opportunities in identity security and cognitive science. This progress is reflective of our long term planning and execution towards an enhanced identity as a vision sciences company, integrating proprietary therapeutics and next-generation vision technologies.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color w:val="000000"/>
          <w:sz w:val="18"/>
        </w:rPr>
        <w:t>Components of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i/>
          <w:color w:val="000000"/>
          <w:sz w:val="18"/>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Substantially all of our research and development expenses consist of expenses incurred in connection with the development of our product candidates and ABC Platform. These expenses include certain payroll and personnel expenses, including stock-based compensation, for our research and product development employees; laboratory supplies and facility costs; consulting costs; fees paid to third-party vendors to conduct certain research and development activities on our behalf; and allocated overhead, including rent,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are focusing substantially all of our resources and development efforts on the development of our product candidates.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i/>
          <w:color w:val="000000"/>
          <w:sz w:val="18"/>
        </w:rPr>
        <w:t>General and Administrative Expenses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General and administrative expenses consist principally of payroll and personnel expenses, including stock-based compensation; professional fees for legal, consulting, accounting and tax services; compliance costs associated with being a public company; allocated overhead, including rent, depreciation and utilities; and other general operating expenses not otherwise classified as research and development expenses.</w:t>
      </w:r>
    </w:p>
    <w:p>
      <w:pPr>
        <w:pStyle w:val="TextBody"/>
        <w:bidi w:val="0"/>
        <w:spacing w:before="240" w:after="283"/>
        <w:jc w:val="left"/>
        <w:rPr>
          <w:rFonts w:ascii="Times New Roman" w:hAnsi="Times New Roman"/>
          <w:sz w:val="20"/>
        </w:rPr>
      </w:pPr>
      <w:r>
        <w:rPr>
          <w:rFonts w:ascii="Montserrat;sans-serif" w:hAnsi="Montserrat;sans-serif"/>
          <w:i/>
          <w:color w:val="000000"/>
          <w:sz w:val="18"/>
        </w:rPr>
        <w:t>Interest Income</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Interest income consists primarily of interest income earned on our cash and cash equivalents.</w:t>
      </w:r>
    </w:p>
    <w:p>
      <w:pPr>
        <w:pStyle w:val="TextBody"/>
        <w:bidi w:val="0"/>
        <w:spacing w:before="240" w:after="283"/>
        <w:jc w:val="left"/>
        <w:rPr>
          <w:rFonts w:ascii="Times New Roman" w:hAnsi="Times New Roman"/>
          <w:sz w:val="20"/>
        </w:rPr>
      </w:pPr>
      <w:r>
        <w:rPr>
          <w:rFonts w:ascii="Montserrat;sans-serif" w:hAnsi="Montserrat;sans-serif"/>
          <w:i/>
          <w:color w:val="000000"/>
          <w:sz w:val="18"/>
        </w:rPr>
        <w:t>Other Income (Expense), Net</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Other income (expense), net consists primarily of tax expense.</w:t>
      </w:r>
    </w:p>
    <w:p>
      <w:pPr>
        <w:pStyle w:val="TextBody"/>
        <w:bidi w:val="0"/>
        <w:spacing w:before="240" w:after="283"/>
        <w:jc w:val="left"/>
        <w:rPr>
          <w:rFonts w:ascii="Times New Roman" w:hAnsi="Times New Roman"/>
          <w:sz w:val="20"/>
        </w:rPr>
      </w:pPr>
      <w:r>
        <w:rPr>
          <w:rFonts w:ascii="Montserrat;sans-serif" w:hAnsi="Montserrat;sans-serif"/>
          <w:b/>
          <w:color w:val="000000"/>
          <w:sz w:val="18"/>
        </w:rPr>
        <w:t>Results of Operations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following table summarizes the results of our operations for the periods indicated, in thousands:</w:t>
      </w:r>
    </w:p>
    <w:p>
      <w:pPr>
        <w:pStyle w:val="TextBody"/>
        <w:bidi w:val="0"/>
        <w:jc w:val="left"/>
        <w:rPr/>
      </w:pPr>
      <w:r>
        <w:rPr/>
        <w:t> </w:t>
      </w:r>
    </w:p>
    <w:tbl>
      <w:tblPr>
        <w:tblW w:w="10460" w:type="dxa"/>
        <w:jc w:val="left"/>
        <w:tblInd w:w="0" w:type="dxa"/>
        <w:tblLayout w:type="fixed"/>
        <w:tblCellMar>
          <w:top w:w="28" w:type="dxa"/>
          <w:left w:w="28" w:type="dxa"/>
          <w:bottom w:w="28" w:type="dxa"/>
          <w:right w:w="28" w:type="dxa"/>
        </w:tblCellMar>
      </w:tblPr>
      <w:tblGrid>
        <w:gridCol w:w="1611"/>
        <w:gridCol w:w="146"/>
        <w:gridCol w:w="226"/>
        <w:gridCol w:w="841"/>
        <w:gridCol w:w="181"/>
        <w:gridCol w:w="146"/>
        <w:gridCol w:w="226"/>
        <w:gridCol w:w="841"/>
        <w:gridCol w:w="181"/>
        <w:gridCol w:w="146"/>
        <w:gridCol w:w="226"/>
        <w:gridCol w:w="841"/>
        <w:gridCol w:w="181"/>
        <w:gridCol w:w="146"/>
        <w:gridCol w:w="226"/>
        <w:gridCol w:w="961"/>
        <w:gridCol w:w="181"/>
        <w:gridCol w:w="146"/>
        <w:gridCol w:w="226"/>
        <w:gridCol w:w="961"/>
        <w:gridCol w:w="181"/>
        <w:gridCol w:w="146"/>
        <w:gridCol w:w="226"/>
        <w:gridCol w:w="841"/>
        <w:gridCol w:w="426"/>
      </w:tblGrid>
      <w:tr>
        <w:trPr/>
        <w:tc>
          <w:tcPr>
            <w:tcW w:w="1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Six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56,083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42,760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13,323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104,630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86,404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18,226</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10,755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12,750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(1,995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21,985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28,179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(6,194</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(66,838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(55,510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(11,328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(126,615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(114,583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(12,032</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2,896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2,843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53</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(48</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(65,643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(54,313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(11,330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(123,801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(111,774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(12,027</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bl>
    <w:p>
      <w:pPr>
        <w:pStyle w:val="TextBody"/>
        <w:bidi w:val="0"/>
        <w:jc w:val="left"/>
        <w:rPr/>
      </w:pPr>
      <w:r>
        <w:rPr/>
        <w:t>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Montserrat;sans-serif" w:hAnsi="Montserrat;sans-serif"/>
          <w:i/>
          <w:color w:val="000000"/>
          <w:sz w:val="18"/>
        </w:rPr>
        <w:t>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The following table summarizes our research and development expenses for the periods indicated,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66"/>
        <w:gridCol w:w="146"/>
        <w:gridCol w:w="226"/>
        <w:gridCol w:w="766"/>
        <w:gridCol w:w="146"/>
        <w:gridCol w:w="146"/>
        <w:gridCol w:w="226"/>
        <w:gridCol w:w="766"/>
        <w:gridCol w:w="146"/>
        <w:gridCol w:w="146"/>
        <w:gridCol w:w="226"/>
        <w:gridCol w:w="766"/>
        <w:gridCol w:w="181"/>
        <w:gridCol w:w="146"/>
        <w:gridCol w:w="226"/>
        <w:gridCol w:w="886"/>
        <w:gridCol w:w="146"/>
        <w:gridCol w:w="146"/>
        <w:gridCol w:w="226"/>
        <w:gridCol w:w="766"/>
        <w:gridCol w:w="146"/>
        <w:gridCol w:w="146"/>
        <w:gridCol w:w="226"/>
        <w:gridCol w:w="766"/>
        <w:gridCol w:w="426"/>
      </w:tblGrid>
      <w:tr>
        <w:trPr/>
        <w:tc>
          <w:tcPr>
            <w:tcW w:w="2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Tarcocimab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(2,480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19,351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26,162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(6,811</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KSI-501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8,884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22,603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15,441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KSI-101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10,832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19,279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16,915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ABC Platform and other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(2,814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(4,693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Payroll and 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13,672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14,109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27,851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28,379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(528</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Facilities and 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(662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(2,098</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56,083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42,760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13,323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104,630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86,404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18,226</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Beginning in 2026, KSI-501 and KSI-101 program expenses are presented as separate line items given increased clinical activities within both programs. Previously, the two programs were presented as a single line item.</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Tarcocimab program expenses decreased $2.5 million and $6.8 million during the three and six months ended June 30, 2026, respectively, as compared to the same periods in 2025, driven by reduced manufacturing expenses. Increased costs related to the DAYBREAK clinical trial (a study for both tarcocimab and KSI-501) were offset by lower costs from the GLOW2 clinical trial that completed during the first quarter of 2026.</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KSI-501 program expenses increased $8.9 million and $15.4 million during the three and six months ended June 30, 2026, respectively, as compared to the same periods in 2025, due to increased manufacturing expenses as we ramp up KSI-501 production activities as well as increased costs related to the DAYBREAK clinical trial (a study for both KSI-501 and tarcocimab).</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KSI-101 program expenses increased $10.8 million and $16.9 million during the three and six months ended June 30, 2026, respectively, as compared to the same periods in 2025, primarily due to increased costs related to the PEAK/PINNACLE clinical trials along with increased manufacturing expenses.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ABC Platform and other program expenses decreased $2.8 million and $4.7 million during the three and six months ended June 30, 2026, respectively, as compared to the same periods in 2025, due to decreased biopolymer manufacturing activities in the current year.</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Payroll and personnel expenses remained relatively flat during the three and six months ended June 30, 2026, as compared to the same periods in 2025.</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Facilities and other research and development expenses decreased $0.7 million and $2.1 million during the three and six months ended June 30, 2026, respectively, as compared to the same periods in 2025, primarily due to a reduction in the amount of rent expense allocated to R&amp;D following the sublease of one of our corporate office buildings in early 2025.</w:t>
      </w:r>
    </w:p>
    <w:p>
      <w:pPr>
        <w:pStyle w:val="TextBody"/>
        <w:bidi w:val="0"/>
        <w:spacing w:before="240" w:after="283"/>
        <w:jc w:val="left"/>
        <w:rPr>
          <w:rFonts w:ascii="Montserrat;sans-serif" w:hAnsi="Montserrat;sans-serif"/>
          <w:i/>
          <w:color w:val="000000"/>
          <w:sz w:val="18"/>
        </w:rPr>
      </w:pPr>
      <w:r>
        <w:rPr>
          <w:rFonts w:ascii="Montserrat;sans-serif" w:hAnsi="Montserrat;sans-serif"/>
          <w:i/>
          <w:color w:val="000000"/>
          <w:sz w:val="18"/>
        </w:rPr>
        <w:t>General and Administrative Expenses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General and administrative expenses decreased $2.0 million and $6.2 million during the three and six months ended June 30, 2026, respectively, as compared to the same periods in 2025, due to lower stock compensation expense as we are no longer recognizing expense associated with older, higher-value stock awards that fully vested; a reduction in facilities costs driven by lower net rent expense after subleasing one of our Palo Alto buildings; and a non-recurring non-cash $1.9 million lease impairment expense recorded in the first quarter of 2025 (also related to the sublease).</w:t>
      </w:r>
    </w:p>
    <w:p>
      <w:pPr>
        <w:pStyle w:val="TextBody"/>
        <w:bidi w:val="0"/>
        <w:spacing w:before="240" w:after="283"/>
        <w:jc w:val="left"/>
        <w:rPr>
          <w:rFonts w:ascii="Times New Roman" w:hAnsi="Times New Roman"/>
          <w:sz w:val="20"/>
        </w:rPr>
      </w:pPr>
      <w:r>
        <w:rPr>
          <w:rFonts w:ascii="Montserrat;sans-serif" w:hAnsi="Montserrat;sans-serif"/>
          <w:b/>
          <w:color w:val="000000"/>
          <w:sz w:val="18"/>
        </w:rPr>
        <w:t>Liquidity and Capital Resources; Plan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b/>
          <w:i/>
          <w:color w:val="000000"/>
          <w:sz w:val="18"/>
        </w:rPr>
        <w:t>Sources of Liquidity</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have funded our operations primarily through the issuance of common stock and the sale of future royalties. As of June 30, 2026, we had cash and cash equivalents of $125.9 million. We believe that our current cash and cash equivalents will be sufficient to support our current and planned operations into 2027 but may not be sufficient to meet our anticipated operating and capital expenditure requirements for the 12 months following the date of this Quarterly Report.</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Future Funding Requirements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have incurred net losses and negative cash flows from operations since inception. As of June 30, 2026, we had an accumulated deficit of $1.7 billion. We expect to continue to incur operating losses and negative operating cash flows for the foreseeable future and as a result, there is substantial doubt regarding our ability to continue as a going concern.</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plan to raise additional capital to maintain current operations and to continue research and development activities. If we raise additional funds by issuing equity securities, our stockholders will experience dilution. Any future debt financing into which we enter may impose upon us covenants that restrict our operations, including limitations on our ability to incur liens or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pause, scale back or discontinue one or more of our development programs. We may also be required to sell or license rights to our product candidates or indications in certain territories to others that we would prefer to develop and commercialize ourselves. Adequate additional funding may not be available to us on acceptable terms or at all.</w:t>
      </w:r>
    </w:p>
    <w:p>
      <w:pPr>
        <w:pStyle w:val="TextBody"/>
        <w:bidi w:val="0"/>
        <w:spacing w:before="120" w:after="283"/>
        <w:jc w:val="left"/>
        <w:rPr>
          <w:rFonts w:ascii="Times New Roman" w:hAnsi="Times New Roman"/>
          <w:sz w:val="20"/>
        </w:rPr>
      </w:pPr>
      <w:r>
        <w:rPr>
          <w:rFonts w:ascii="Montserrat;sans-serif" w:hAnsi="Montserrat;sans-serif"/>
          <w:color w:val="000000"/>
          <w:sz w:val="18"/>
        </w:rPr>
        <w:t>Our failure to raise capital as and when needed could have a negative impact on our financial condition and our ability to pursue our business strategies. Refer to the section of this report titled “Part II, Item 1A — Risk Factors” for additional risks associated with our substantial capital requirements.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timing and amount of our operating expenditures and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scope, timing, rate of progress and costs of our drug discovery, preclinical development activities, laboratory testing and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number and scope of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scope and costs of manufacturing development and commercial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cost,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cost and timing associated with commercializing our product candidates, if they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extent to which we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ability to establish and maintain collaborations on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efforts to enhance operational systems and our ability to attract, hire and retain qualified personnel, including personnel to support the development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costs associated with being a public company.</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Also, the significant uncertainties caused by any public health crises, on-going geopolitical conflicts, inflation, tariffs, rising interest rates, bank failures, on-going supply chain disruptions and volatile equity capital markets may also negatively impact our operations and capital resources. While we and our key clinical and manufacturing partners have been able to continue to advance our operations, we continue to monitor the impact of the aforementioned events on our ability to continue the development of, and seek regulatory approvals for, our product candidates and begin to commercialize any approved products. One or more of these events may ultimately have a material adverse effect on our liquidity and operating plans.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have based our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Summary Statement of Cash Flows</w:t>
      </w:r>
      <w:r>
        <w:rPr>
          <w:rFonts w:ascii="Times New Roman" w:hAnsi="Times New Roman"/>
          <w:color w:val="000000"/>
          <w:sz w:val="20"/>
        </w:rPr>
        <w:t xml:space="preserve"> </w:t>
      </w:r>
    </w:p>
    <w:p>
      <w:pPr>
        <w:pStyle w:val="TextBody"/>
        <w:bidi w:val="0"/>
        <w:spacing w:before="120" w:after="120"/>
        <w:jc w:val="left"/>
        <w:rPr>
          <w:rFonts w:ascii="Montserrat;sans-serif" w:hAnsi="Montserrat;sans-serif"/>
          <w:color w:val="000000"/>
          <w:sz w:val="18"/>
        </w:rPr>
      </w:pPr>
      <w:r>
        <w:rPr>
          <w:rFonts w:ascii="Montserrat;sans-serif" w:hAnsi="Montserrat;sans-serif"/>
          <w:color w:val="000000"/>
          <w:sz w:val="18"/>
        </w:rPr>
        <w:t>The following table sets forth the primary sources and uses of cash for each of the periods presented below, in thousands:</w:t>
      </w:r>
    </w:p>
    <w:p>
      <w:pPr>
        <w:pStyle w:val="TextBody"/>
        <w:bidi w:val="0"/>
        <w:jc w:val="left"/>
        <w:rPr/>
      </w:pPr>
      <w:r>
        <w:rPr/>
        <w:t> </w:t>
      </w:r>
    </w:p>
    <w:tbl>
      <w:tblPr>
        <w:tblW w:w="9832" w:type="dxa"/>
        <w:jc w:val="left"/>
        <w:tblInd w:w="0" w:type="dxa"/>
        <w:tblLayout w:type="fixed"/>
        <w:tblCellMar>
          <w:top w:w="28" w:type="dxa"/>
          <w:left w:w="28" w:type="dxa"/>
          <w:bottom w:w="28" w:type="dxa"/>
          <w:right w:w="28" w:type="dxa"/>
        </w:tblCellMar>
      </w:tblPr>
      <w:tblGrid>
        <w:gridCol w:w="5861"/>
        <w:gridCol w:w="546"/>
        <w:gridCol w:w="260"/>
        <w:gridCol w:w="969"/>
        <w:gridCol w:w="208"/>
        <w:gridCol w:w="168"/>
        <w:gridCol w:w="260"/>
        <w:gridCol w:w="969"/>
        <w:gridCol w:w="591"/>
      </w:tblGrid>
      <w:tr>
        <w:trPr/>
        <w:tc>
          <w:tcPr>
            <w:tcW w:w="586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Net cash provided by (used in):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Operating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(86,247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(63,750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w:t>
            </w:r>
          </w:p>
        </w:tc>
      </w:tr>
      <w:tr>
        <w:trPr/>
        <w:tc>
          <w:tcPr>
            <w:tcW w:w="5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Investing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(1,294</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(403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w:t>
            </w:r>
          </w:p>
        </w:tc>
      </w:tr>
      <w:tr>
        <w:trPr/>
        <w:tc>
          <w:tcPr>
            <w:tcW w:w="5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Financing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3,582</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244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Net decrease in cash, cash equivalents and restricted cash</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(83,959</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(63,909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bl>
    <w:p>
      <w:pPr>
        <w:pStyle w:val="TextBody"/>
        <w:bidi w:val="0"/>
        <w:jc w:val="left"/>
        <w:rPr/>
      </w:pPr>
      <w:r>
        <w:rPr/>
        <w:t> </w:t>
      </w:r>
    </w:p>
    <w:p>
      <w:pPr>
        <w:pStyle w:val="TextBody"/>
        <w:bidi w:val="0"/>
        <w:jc w:val="left"/>
        <w:rPr>
          <w:rFonts w:ascii="Montserrat;sans-serif" w:hAnsi="Montserrat;sans-serif"/>
          <w:i/>
          <w:color w:val="000000"/>
          <w:sz w:val="18"/>
        </w:rPr>
      </w:pPr>
      <w:r>
        <w:rPr>
          <w:rFonts w:ascii="Montserrat;sans-serif" w:hAnsi="Montserrat;sans-serif"/>
          <w:i/>
          <w:color w:val="000000"/>
          <w:sz w:val="18"/>
        </w:rPr>
        <w:t>Cash Flows from Operating Activities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Net cash used in operating activities was $86.2 million for the six months ended June 30, 2026, based on operational spend of $87.5 million, partially offset by changes in operating assets and liabilities of $1.3 million.</w:t>
      </w:r>
    </w:p>
    <w:p>
      <w:pPr>
        <w:pStyle w:val="TextBody"/>
        <w:bidi w:val="0"/>
        <w:spacing w:before="240" w:after="283"/>
        <w:jc w:val="left"/>
        <w:rPr>
          <w:rFonts w:ascii="Times New Roman" w:hAnsi="Times New Roman"/>
          <w:sz w:val="20"/>
        </w:rPr>
      </w:pPr>
      <w:r>
        <w:rPr>
          <w:rFonts w:ascii="Montserrat;sans-serif" w:hAnsi="Montserrat;sans-serif"/>
          <w:b/>
          <w:color w:val="000000"/>
          <w:sz w:val="18"/>
        </w:rPr>
        <w:t>Contractual Obligations and Commitments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disclosure of our contractual obligations and commitments is set forth under the heading “Management’s Discussion and Analysis of Financial Condition and Results of Operations — Material Cash Requirements and Material Known Contractual Obligations and Commitments” in our Annual Report on Form 10-K for the year ended December 31, 2025, which was filed with the SEC on March 31, 2026. There have been no material changes in our contractual obligations and commitments since December 31, 2025, except as otherwise described in Note 5 to our condensed consolidated financial statements included in this report.</w:t>
      </w:r>
    </w:p>
    <w:p>
      <w:pPr>
        <w:pStyle w:val="TextBody"/>
        <w:bidi w:val="0"/>
        <w:spacing w:before="240" w:after="283"/>
        <w:jc w:val="left"/>
        <w:rPr>
          <w:rFonts w:ascii="Times New Roman" w:hAnsi="Times New Roman"/>
          <w:sz w:val="20"/>
        </w:rPr>
      </w:pPr>
      <w:r>
        <w:rPr>
          <w:rFonts w:ascii="Montserrat;sans-serif" w:hAnsi="Montserrat;sans-serif"/>
          <w:b/>
          <w:color w:val="000000"/>
          <w:sz w:val="18"/>
        </w:rPr>
        <w:t>Critical Accounting Policies, Significant Judgments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condensed consolidated financial statements have been prepared in accordance with U.S. generally accepted accounting principles, or GAAP. The preparation of these condensed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During the six months ended June 30, 2026, there were no material changes to our critical accounting policies as reported in our Annual Report on Form 10-K for the year ended December 31, 2025, which was filed with the SEC on March 31, 2026, except as otherwise described in Note 2 to our condensed consolidated financial statements included in this report.</w:t>
      </w:r>
    </w:p>
    <w:p>
      <w:pPr>
        <w:pStyle w:val="TextBody"/>
        <w:bidi w:val="0"/>
        <w:spacing w:before="240" w:after="283"/>
        <w:jc w:val="left"/>
        <w:rPr>
          <w:rFonts w:ascii="Times New Roman" w:hAnsi="Times New Roman"/>
          <w:sz w:val="20"/>
        </w:rPr>
      </w:pPr>
      <w:r>
        <w:rPr>
          <w:rFonts w:ascii="Montserrat;sans-serif" w:hAnsi="Montserrat;sans-serif"/>
          <w:b/>
          <w:color w:val="000000"/>
          <w:sz w:val="18"/>
        </w:rPr>
        <w:t>Recent Accounting Pronouncements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 description of recently issued accounting pronouncements that may potentially impact our financial position and results of operations is discussed under Note 2 to our condensed consolidated financial statements included in this report.</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_item3"/>
      <w:bookmarkEnd w:id="19"/>
      <w:r>
        <w:rPr>
          <w:rFonts w:ascii="Montserrat;sans-serif" w:hAnsi="Montserrat;sans-serif"/>
          <w:b/>
          <w:color w:val="000000"/>
          <w:sz w:val="18"/>
        </w:rPr>
        <w:t>Item 3. Quantitative and Qualitati</w:t>
      </w:r>
      <w:bookmarkStart w:id="20" w:name="item_3_quantitative_qualitative_disclosu"/>
      <w:bookmarkEnd w:id="20"/>
      <w:r>
        <w:rPr>
          <w:rFonts w:ascii="Montserrat;sans-serif" w:hAnsi="Montserrat;sans-serif"/>
          <w:b/>
          <w:color w:val="000000"/>
          <w:sz w:val="18"/>
        </w:rPr>
        <w:t>ve Disclosures About Market Risk.</w:t>
      </w:r>
    </w:p>
    <w:p>
      <w:pPr>
        <w:pStyle w:val="TextBody"/>
        <w:bidi w:val="0"/>
        <w:spacing w:before="120" w:after="283"/>
        <w:jc w:val="left"/>
        <w:rPr>
          <w:rFonts w:ascii="Montserrat;sans-serif" w:hAnsi="Montserrat;sans-serif"/>
          <w:color w:val="000000"/>
          <w:sz w:val="18"/>
        </w:rPr>
      </w:pPr>
      <w:bookmarkStart w:id="21" w:name="s161692780"/>
      <w:bookmarkEnd w:id="21"/>
      <w:r>
        <w:rPr>
          <w:rFonts w:ascii="Montserrat;sans-serif" w:hAnsi="Montserrat;sans-serif"/>
          <w:color w:val="000000"/>
          <w:sz w:val="18"/>
        </w:rPr>
        <w:t>As a “smaller reporting company,” as defined by Rule 12b-2 of the Exchange Act, and pursuant to Item 305 of Regulation S-K we are not required to provide quantitative and qualitative disclosures about market risk.</w:t>
      </w:r>
    </w:p>
    <w:p>
      <w:pPr>
        <w:pStyle w:val="TextBody"/>
        <w:bidi w:val="0"/>
        <w:spacing w:before="240" w:after="283"/>
        <w:jc w:val="left"/>
        <w:rPr>
          <w:rFonts w:ascii="Times New Roman" w:hAnsi="Times New Roman"/>
          <w:sz w:val="20"/>
        </w:rPr>
      </w:pPr>
      <w:bookmarkStart w:id="22" w:name="item_4_controls_procedures"/>
      <w:bookmarkEnd w:id="22"/>
      <w:r>
        <w:rPr>
          <w:rFonts w:ascii="Montserrat;sans-serif" w:hAnsi="Montserrat;sans-serif"/>
          <w:b/>
          <w:color w:val="000000"/>
          <w:sz w:val="18"/>
        </w:rPr>
        <w:t>Item 4. Controls</w:t>
      </w:r>
      <w:r>
        <w:rPr>
          <w:rFonts w:ascii="Times New Roman" w:hAnsi="Times New Roman"/>
          <w:color w:val="000000"/>
          <w:sz w:val="20"/>
        </w:rPr>
        <w:t xml:space="preserve"> </w:t>
      </w:r>
      <w:r>
        <w:rPr>
          <w:rFonts w:ascii="Montserrat;sans-serif" w:hAnsi="Montserrat;sans-serif"/>
          <w:b/>
          <w:color w:val="000000"/>
          <w:sz w:val="18"/>
        </w:rPr>
        <w:t>and Procedures.</w:t>
      </w:r>
    </w:p>
    <w:p>
      <w:pPr>
        <w:pStyle w:val="TextBody"/>
        <w:bidi w:val="0"/>
        <w:spacing w:before="120" w:after="283"/>
        <w:jc w:val="left"/>
        <w:rPr>
          <w:rFonts w:ascii="Montserrat;sans-serif" w:hAnsi="Montserrat;sans-serif"/>
          <w:i/>
          <w:color w:val="000000"/>
          <w:sz w:val="18"/>
        </w:rPr>
      </w:pPr>
      <w:r>
        <w:rPr>
          <w:rFonts w:ascii="Montserrat;sans-serif" w:hAnsi="Montserrat;sans-serif"/>
          <w:i/>
          <w:color w:val="000000"/>
          <w:sz w:val="18"/>
        </w:rPr>
        <w:t>Management’s Evaluation of our Disclosure Controls and Procedures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our disclosure controls and procedures as of June 30, 2026. Based upon such evaluation, our principal executive officer and principal financial officer concluded that the design and operation of our disclosure controls and procedures were effective at a reasonable assurance level as of June 30, 2026.</w:t>
      </w:r>
    </w:p>
    <w:p>
      <w:pPr>
        <w:pStyle w:val="TextBody"/>
        <w:bidi w:val="0"/>
        <w:spacing w:before="240" w:after="283"/>
        <w:jc w:val="left"/>
        <w:rPr>
          <w:rFonts w:ascii="Montserrat;sans-serif" w:hAnsi="Montserrat;sans-serif"/>
          <w:i/>
          <w:color w:val="000000"/>
          <w:sz w:val="18"/>
        </w:rPr>
      </w:pPr>
      <w:r>
        <w:rPr>
          <w:rFonts w:ascii="Montserrat;sans-serif" w:hAnsi="Montserrat;sans-serif"/>
          <w:i/>
          <w:color w:val="000000"/>
          <w:sz w:val="18"/>
        </w:rPr>
        <w:t>Changes in Internal Control over Financial Reporting</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There has been no change in our internal control over financial reporting during the quarter ended June 30, 2026, that has materially affected, or is reasonably likely to materially affect, our internal control over financial reporting.</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3" w:name="i_item4t"/>
      <w:bookmarkEnd w:id="23"/>
      <w:r>
        <w:rPr>
          <w:rFonts w:ascii="Montserrat;sans-serif" w:hAnsi="Montserrat;sans-serif"/>
          <w:b/>
          <w:color w:val="000000"/>
          <w:sz w:val="18"/>
        </w:rPr>
        <w:t>PART II — OTHER</w:t>
      </w:r>
      <w:bookmarkStart w:id="24" w:name="part_iior_information"/>
      <w:bookmarkEnd w:id="24"/>
      <w:r>
        <w:rPr>
          <w:rFonts w:ascii="Times New Roman" w:hAnsi="Times New Roman"/>
          <w:color w:val="000000"/>
          <w:sz w:val="20"/>
        </w:rPr>
        <w:t xml:space="preserve"> </w:t>
      </w:r>
      <w:r>
        <w:rPr>
          <w:rFonts w:ascii="Montserrat;sans-serif" w:hAnsi="Montserrat;sans-serif"/>
          <w:b/>
          <w:color w:val="000000"/>
          <w:sz w:val="18"/>
        </w:rPr>
        <w:t>INFORMATION</w:t>
      </w:r>
    </w:p>
    <w:p>
      <w:pPr>
        <w:pStyle w:val="TextBody"/>
        <w:bidi w:val="0"/>
        <w:spacing w:before="240" w:after="283"/>
        <w:jc w:val="left"/>
        <w:rPr>
          <w:rFonts w:ascii="Montserrat;sans-serif" w:hAnsi="Montserrat;sans-serif"/>
          <w:b/>
          <w:color w:val="000000"/>
          <w:sz w:val="18"/>
        </w:rPr>
      </w:pPr>
      <w:bookmarkStart w:id="25" w:name="item_1_legal_proceedings"/>
      <w:bookmarkEnd w:id="25"/>
      <w:r>
        <w:rPr>
          <w:rFonts w:ascii="Montserrat;sans-serif" w:hAnsi="Montserrat;sans-serif"/>
          <w:b/>
          <w:color w:val="000000"/>
          <w:sz w:val="18"/>
        </w:rPr>
        <w:t>Item 1. Legal Proceedings.</w:t>
      </w:r>
    </w:p>
    <w:p>
      <w:pPr>
        <w:pStyle w:val="TextBody"/>
        <w:bidi w:val="0"/>
        <w:spacing w:before="120" w:after="283"/>
        <w:jc w:val="left"/>
        <w:rPr>
          <w:rFonts w:ascii="Times New Roman" w:hAnsi="Times New Roman"/>
          <w:sz w:val="20"/>
        </w:rPr>
      </w:pPr>
      <w:r>
        <w:rPr>
          <w:rFonts w:ascii="Montserrat;sans-serif" w:hAnsi="Montserrat;sans-serif"/>
          <w:color w:val="000000"/>
          <w:sz w:val="18"/>
        </w:rPr>
        <w:t>From time to time, we may become involved in litigation relating to claims arising from the ordinary course of business. As of the date of this Quarterly Report, there are no claims or actions pending against us, the ultimate disposition of which could have a material adverse effect on our results of operations or financial condition.</w:t>
      </w:r>
      <w:r>
        <w:rPr>
          <w:rFonts w:ascii="Times New Roman" w:hAnsi="Times New Roman"/>
          <w:color w:val="000000"/>
          <w:sz w:val="20"/>
        </w:rPr>
        <w:t xml:space="preserve"> </w:t>
      </w:r>
    </w:p>
    <w:p>
      <w:pPr>
        <w:pStyle w:val="TextBody"/>
        <w:bidi w:val="0"/>
        <w:spacing w:before="240" w:after="283"/>
        <w:jc w:val="left"/>
        <w:rPr>
          <w:rFonts w:ascii="Montserrat;sans-serif" w:hAnsi="Montserrat;sans-serif"/>
          <w:b/>
          <w:color w:val="000000"/>
          <w:sz w:val="18"/>
        </w:rPr>
      </w:pPr>
      <w:bookmarkStart w:id="26" w:name="item_1a_risk_factors"/>
      <w:bookmarkEnd w:id="26"/>
      <w:r>
        <w:rPr>
          <w:rFonts w:ascii="Montserrat;sans-serif" w:hAnsi="Montserrat;sans-serif"/>
          <w:b/>
          <w:color w:val="000000"/>
          <w:sz w:val="18"/>
        </w:rPr>
        <w:t>Item 1A. Risk Factors.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consolidated financial statements and notes thereto. The occurrence of any events described in the following risk factors and the risks described elsewhere in this report could harm our business, operating results, financial condition or growth prospects or cause our actual results to differ materially from those contained in forward-looking statements that we have made in this report and that we may make from time to time. You should consider all of the risk factors described when evaluating our business. The risks described below are not intended to be exhaustive and are not the only risks that we face. New risk factors can emerge from time to time, and it is not possible to predict the impact that any factor or combination of factors may have on our business, operating results, financial condition, and/or growth prospects.</w:t>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b/>
          <w:color w:val="000000"/>
          <w:sz w:val="18"/>
        </w:rPr>
        <w:t>Risks Related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b/>
          <w:i/>
          <w:color w:val="000000"/>
          <w:sz w:val="18"/>
        </w:rPr>
      </w:pPr>
      <w:r>
        <w:rPr>
          <w:rFonts w:ascii="Montserrat;sans-serif" w:hAnsi="Montserrat;sans-serif"/>
          <w:b/>
          <w:i/>
          <w:color w:val="000000"/>
          <w:sz w:val="18"/>
        </w:rPr>
        <w:t>We are in the clinical stage of drug development and have a limited operating history and no products approved for commercial sale, which may make it difficult to evaluate our current business and predict our future success and viability.</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are a clinical stage biopharmaceutical company committed to researching, developing and commercializing transformative therapeutics to treat a broad spectrum of retinal diseases. We commenced operations in June 2009, have no products approved for commercial sale and have not generated any revenue. Drug development is a highly uncertain undertaking and involves a substantial degree of risk. We have conducted and continue to conduct clinical trials, including Phase 3 pivotal clinical trials, of tarcocimab in patients with wet AMD, DME, DR and RVO. We completed enrollment for the Phase 3 DAYBREAK clinical trial of tarcocimab and KSI-501 in patients with wet AMD and for the first pivotal cohort in the Phase 3 PEAK clinical trial of KSI-101 in patients with MESI. We are continuing enrollment for the second pivotal cohort of the on-going Phase 3 PEAK and PINNACLE clinical trials of KSI-101 in patients with MESI and the Phase 3 ALTO clinical trial of KSI-501 in patients with DME.</w:t>
      </w:r>
    </w:p>
    <w:p>
      <w:pPr>
        <w:pStyle w:val="TextBody"/>
        <w:bidi w:val="0"/>
        <w:spacing w:before="120" w:after="283"/>
        <w:jc w:val="left"/>
        <w:rPr>
          <w:rFonts w:ascii="Times New Roman" w:hAnsi="Times New Roman"/>
          <w:sz w:val="20"/>
        </w:rPr>
      </w:pPr>
      <w:r>
        <w:rPr>
          <w:rFonts w:ascii="Montserrat;sans-serif" w:hAnsi="Montserrat;sans-serif"/>
          <w:color w:val="000000"/>
          <w:sz w:val="18"/>
        </w:rPr>
        <w:t>To date, we have not obtained marketing approval for any of our product candidates, or conducted sales and marketing activities necessary for successful product commercialization. Our limited operating history as a company and stage of drug development make any assessment of our future success and viability subject to significant uncertainty. We will encounter risks and difficulties frequently experienced by biopharmaceutical companies in rapidly evolving fields, and we have not yet demonstrated an ability to successfully overcome such risks and difficulties. If we do not address these risks and difficulties successfully, our business will suffer.</w:t>
      </w:r>
      <w:r>
        <w:rPr>
          <w:rFonts w:ascii="Times New Roman" w:hAnsi="Times New Roman"/>
          <w:color w:val="000000"/>
          <w:sz w:val="20"/>
        </w:rPr>
        <w:t xml:space="preserve"> </w:t>
      </w:r>
    </w:p>
    <w:p>
      <w:pPr>
        <w:pStyle w:val="TextBody"/>
        <w:bidi w:val="0"/>
        <w:spacing w:before="120" w:after="283"/>
        <w:jc w:val="left"/>
        <w:rPr>
          <w:rFonts w:ascii="Montserrat;sans-serif" w:hAnsi="Montserrat;sans-serif"/>
          <w:b/>
          <w:i/>
          <w:color w:val="000000"/>
          <w:sz w:val="18"/>
        </w:rPr>
      </w:pPr>
      <w:r>
        <w:rPr>
          <w:rFonts w:ascii="Montserrat;sans-serif" w:hAnsi="Montserrat;sans-serif"/>
          <w:b/>
          <w:i/>
          <w:color w:val="000000"/>
          <w:sz w:val="18"/>
        </w:rPr>
        <w:t>Our prospects are heavily dependent on our ability to successfully develop, obtain regulatory approval for and successfully commercialize tarcocimab, KSI-501 and KSI-101, our product candidates, which are currently in clinical development for multiple indications.</w:t>
      </w:r>
    </w:p>
    <w:p>
      <w:pPr>
        <w:pStyle w:val="TextBody"/>
        <w:bidi w:val="0"/>
        <w:spacing w:before="120" w:after="283"/>
        <w:jc w:val="left"/>
        <w:rPr>
          <w:rFonts w:ascii="Times New Roman" w:hAnsi="Times New Roman"/>
          <w:sz w:val="20"/>
        </w:rPr>
      </w:pPr>
      <w:r>
        <w:rPr>
          <w:rFonts w:ascii="Montserrat;sans-serif" w:hAnsi="Montserrat;sans-serif"/>
          <w:color w:val="000000"/>
          <w:sz w:val="18"/>
        </w:rPr>
        <w:t>Our prospects are heavily dependent on our ability to successfully develop, obtain regulatory approval for and successfully commercialize tarcocimab, KSI-501 and KSI-101, our product candidates. We cannot be certain that our product candidates will be successful in any of the planned or pending clinical trials.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previous clinical trial results are not necessarily predictive of the results of our on-going or future discovery programs or any future preclinical or clinical studies. Our ability to demonstrate efficacy, safety and/or clinical durability in pivotal studies may be affected by the patient populations sampled and the design of our pivotal studies. Many companies in the pharmaceutical and biotechnology industries have suffered significant setbacks in late-stage clinical studies after achieving positive results in previous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and followed for longer periods of time.</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We have never submitted a BLA, and even if GLOW1, GLOW2, BEACON, DAYLIGHT or DAYBREAK clinical data support submission of a tarcocimab BLA to the FDA in 2026, we may need to delay submission which would delay review and potential approval. If approved, clinical study designs and data are not necessarily predictive of the final marketed product label. FDA may not approve a label for a particular dosing frequency, even if we believe the data demonstrate support for that dosing. For example, our DAYBREAK trial uses an AI-based tool to measure retinal fluid and individualize dosing, and this dosing may not be incorporated into labeling or may require separate FDA review of the AI-based tool.</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may in the future develop other product candidates, advance additional product candidates into clinical trials and terminate such trials prior to their completion. It will take additional investment and time for such programs to reach the same stage of development as tarcocimab, KSI-501 and KSI-101.</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The failure of pivotal studies to meet their primary efficacy endpoints may lead us to pause, change or discontinue development of product candidates based on our ABC Platform.</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July 2023, we announced that the Phase 3 GLEAM and GLIMMER clinical trials of tarcocimab did not meet their primary efficacy endpoints and, as a result, we paused further development of tarcocimab pending review of Year 1 data from the Phase 3 BEACON study in patients with RVO and the Phase 3 GLOW1 study of patients with DR. Although we resumed the development of tarcocimab in November 2023, we may again determine to discontinue development of tarcocimab or our ABC Platform or other product candidates, including KSI-501, based on future information such as in process or completed clinical trial results, which could prevent us from, or significantly delay, achieving profitability and could result in disruptions to our business including potential impairment charges, restructuring costs, or costs that are greater than expected.</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Our plans for the development of tarcocimab, KSI-501 or KSI-101 may be unsuccessful.</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resumed further development of tarcocimab in November 2023 following the outcomes of Year 1 data from the Phase 3 BEACON study in patients with RVO and the Phase 3 GLOW1 study of patients with DR. In connection with our development program, we developed an enhanced, commercial formulation of tarcocimab. While the FDA has advised that the additional clinical studies to be conducted with the revised formulation should be sufficient to bridge the former material to the go-to-market material, we cannot be sure that the FDA, EMA or comparable foreign regulatory authorities would agree or accept our planned BLA even if our planned additional trials are successful and, as a result, further development of tarcocimab and KSI-501 may ultimately not be successful.</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Preliminary, interim and ongoing data from our preclinical studies and clinical trials is subject to a number of risks and uncertainties and may change as more patient data become available.</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may from time to time have access to certain data from our preclinical studies and clinical trials on a preliminary, interim or ongoing basis. Such data is typically incomplete and is subject to a number of risks and uncertainties. In particular, any analysis of preliminary, interim or ongoing data typically involves only a preliminary analysis of then-available data. The results and related findings and conclusions based on such preliminary analysis may change following a more comprehensive review, evaluation, audit and verification of the data. Further, such preliminary, interim or ongoing data are subject to the risk that one or more of the clinical outcomes may materially change as patient enrollment continues and more patient data become available or as patients from our clinical trials continue other treatments. We may also make assumptions, estimations, calculations and conclusions as part of any analyses of these data, without the opportunity to fully and carefully evaluate complete data. As a result, the preliminary, interim or ongoing data from any of our preclinical studies or clinical trials, as well as any analysis of such data and any related findings and conclusions, may differ from, and may not be indicative of, future data, findings and conclusions for the same preclinical studies or clinical trials, and different conclusions or considerations may qualify such results once additional data have been received and fully evaluated or subsequently made subject to audit and verification procedures. We may from time to time make business decisions, prioritize certain product candidates, or otherwise allocate resources based on such preliminary, interim or ongoing data, and any such actions are subject to similar risks and uncertainties.</w:t>
      </w:r>
    </w:p>
    <w:p>
      <w:pPr>
        <w:pStyle w:val="TextBody"/>
        <w:bidi w:val="0"/>
        <w:spacing w:before="120" w:after="283"/>
        <w:jc w:val="left"/>
        <w:rPr>
          <w:rFonts w:ascii="Times New Roman" w:hAnsi="Times New Roman"/>
          <w:sz w:val="20"/>
        </w:rPr>
      </w:pPr>
      <w:r>
        <w:rPr>
          <w:rFonts w:ascii="Montserrat;sans-serif" w:hAnsi="Montserrat;sans-serif"/>
          <w:color w:val="000000"/>
          <w:sz w:val="18"/>
        </w:rPr>
        <w:t>From time to time, we may also disclose any such preliminary, interim or ongoing data from our preclinical studies and clinical trials. Any such preliminary, interim or ongoing data are subject to the risks and uncertainties described above, and accordingly investors should not place undue reliance on any such data, or any related findings and conclusions, that we may disclose from time to time. Further, others, including regulatory agencies, may not accept or agree with our assumptions, estimates, calculations, conclusions or analyses based on any such preliminary, interim or ongoing data, or may interpret or weigh the importance of such data differently, which could impact the value of the particular program, the approvability or commercialization of tarcocimab, KSI-501 or KSI-101 and our company in general. In addition, any preliminary, interim or ongoing data we may choose to publicly disclose from time to time regarding a particular preclinical study or clinical trial would be based on what is typically extensive information, but</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may not reflect all of the data we have received. It is possible that investors and others may not agree with what we determine is material or otherwise appropriate information to include in our disclosure. If any preliminary, interim or ongoing data, or any related findings or conclusion, that we choose to publicly disclose differ from final results, findings and conclusions for the same preclinical study or clinical trial, or if others, including regulatory authorities, disagree with the conclusions reached, our ability to obtain approval for, and commercialize, tarcocimab, KSI-501 or KSI-101 may be harmed, which could harm our business, operating results, prospects or financial condition. Conversely, any preliminary or interim information we determine not to publicly disclose, including because it has yet to be fully and carefully evaluated, may in the future be deemed significant with respect to decisions, conclusions, views, activities or otherwise regarding a particular product candidate or our business.</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Research and development of biopharmaceutical products is inherently risky. We cannot give any assurance that any of our product candidates will receive regulatory, including marketing, approval, which is necessary before they can be commercialized.</w:t>
      </w:r>
    </w:p>
    <w:p>
      <w:pPr>
        <w:pStyle w:val="TextBody"/>
        <w:bidi w:val="0"/>
        <w:spacing w:before="120" w:after="283"/>
        <w:jc w:val="left"/>
        <w:rPr>
          <w:rFonts w:ascii="Times New Roman" w:hAnsi="Times New Roman"/>
          <w:sz w:val="20"/>
        </w:rPr>
      </w:pPr>
      <w:r>
        <w:rPr>
          <w:rFonts w:ascii="Montserrat;sans-serif" w:hAnsi="Montserrat;sans-serif"/>
          <w:color w:val="000000"/>
          <w:sz w:val="18"/>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product candidates have in the past and may in the future not successfully complete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if a product candidate obtains regulatory approval, approval may be for indications, dosage and administration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 product candidate may, on further study, be shown to have harmful side effects or other characteristics that indicate it is unlikely to be effective or otherwise does not meet applicable regulatory criteria, for example a positive benefit-risk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competitors may develop therapeutics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competitors may develop platform technologies that render our ABC Platform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any product candidates and the ABC Platform that we develop may not be sufficiently covered by intellectual property for which we hold exclusive rights or may be covered by third party patents or other intellectual property or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market for a product candidate may change so that the continued development of that product candidate is no longer commercially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 product candidate may not be capable of being produced in commercial quantities at an acceptable cost,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if a product candidate obtains regulatory approval, we may be unable to establish sales and marketing capabilities, or successfully market such approved product candidate, to gain market acceptance;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 product candidate may not be accepted as safe and effective by patients, the medical community or third-party payors, if applicable. </w:t>
      </w:r>
    </w:p>
    <w:p>
      <w:pPr>
        <w:pStyle w:val="TextBody"/>
        <w:bidi w:val="0"/>
        <w:spacing w:before="120" w:after="283"/>
        <w:jc w:val="left"/>
        <w:rPr>
          <w:rFonts w:ascii="Times New Roman" w:hAnsi="Times New Roman"/>
          <w:sz w:val="20"/>
        </w:rPr>
      </w:pPr>
      <w:r>
        <w:rPr>
          <w:rFonts w:ascii="Montserrat;sans-serif" w:hAnsi="Montserrat;sans-serif"/>
          <w:color w:val="000000"/>
          <w:sz w:val="18"/>
        </w:rPr>
        <w:t>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Further, we may not be successful in our efforts to further develop our product candidates and our ABC Platform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various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in any jurisdiction. We may never receive regulatory approval to market any product candidate in any jurisdiction even if such product candidate successfully completes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may encounter substantial delays in our clinical trials or may not be able to conduct or complete our clinical trials on the timelines we expect,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Montserrat;sans-serif" w:hAnsi="Montserrat;sans-serif"/>
          <w:color w:val="000000"/>
          <w:sz w:val="18"/>
        </w:rPr>
        <w:t xml:space="preserve">inability to generate sufficient preclinical, toxicology, or other </w:t>
      </w:r>
      <w:r>
        <w:rPr>
          <w:rFonts w:ascii="Montserrat;sans-serif" w:hAnsi="Montserrat;sans-serif"/>
          <w:i/>
          <w:color w:val="000000"/>
          <w:sz w:val="18"/>
        </w:rPr>
        <w:t>in vivo</w:t>
      </w:r>
      <w:r>
        <w:rPr>
          <w:color w:val="000000"/>
        </w:rPr>
        <w:t xml:space="preserve"> </w:t>
      </w:r>
      <w:r>
        <w:rPr>
          <w:rFonts w:ascii="Montserrat;sans-serif" w:hAnsi="Montserrat;sans-serif"/>
          <w:color w:val="000000"/>
          <w:sz w:val="18"/>
        </w:rPr>
        <w:t xml:space="preserve">or </w:t>
      </w:r>
      <w:r>
        <w:rPr>
          <w:rFonts w:ascii="Montserrat;sans-serif" w:hAnsi="Montserrat;sans-serif"/>
          <w:i/>
          <w:color w:val="000000"/>
          <w:sz w:val="18"/>
        </w:rPr>
        <w:t>in vitro</w:t>
      </w:r>
      <w:r>
        <w:rPr>
          <w:color w:val="000000"/>
        </w:rPr>
        <w:t xml:space="preserve"> </w:t>
      </w:r>
      <w:r>
        <w:rPr>
          <w:rFonts w:ascii="Montserrat;sans-serif" w:hAnsi="Montserrat;sans-serif"/>
          <w:color w:val="000000"/>
          <w:sz w:val="18"/>
        </w:rPr>
        <w:t xml:space="preserve">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delays in reaching a consensus with regulatory agencies on study design;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determination by the reviewing regulatory authority to require more costly or lengthy clinical trials than we currently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delays in reaching agreement on acceptable terms with clinical trial sites or other third-party vendors, the terms of which can be subject to extensive negotiation and may vary significantly among different clinical trial sites or vendors;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delays in obtaining required Institutional Review Board, or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or any other regulatory authority concerns about risk to patients of the technology broadly; or if the FDA, EMA or any other regulatory authority finds that the investigational protocol or plan is clearly deficient to meet its stated objectives;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delays in identifying, recruiting and enrolling suitable patients to participate in our clinical trials, and delays caused by patients withdrawing from clinical trials or failing to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difficulty collaborating with patient groups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failure by third parties or us to adhere to clinical trial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failure to perform in accordance with the FDA’s or any other regulatory authority’s good clinical practices, or GCPs, requirements, or applicable EMA or other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occurrence of adverse events associated with the product candidate that are viewed to outweigh its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changes in regulatory requirements and guidance that require amending or submitting new clinical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changes in the standard of care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cost of clinical trials of our product candidates being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clinical trials of our product candidates producing negative or inconclusive results, which may result in our deciding, or regulators requiring us, to conduct additional clinical trials or abandon development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transfer of manufacturing processes to larger-scale facilities operated by CMOs or by us, and delays or failure by our CMOs or us to make any necessary changes to such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delays in manufacturing, testing, releasing, validating, or importing/exporting sufficient stable quantities of our product candidates for use in clinical trials and for use in regulatory filings or the inability to do any of the foregoing. </w:t>
      </w:r>
    </w:p>
    <w:p>
      <w:pPr>
        <w:pStyle w:val="TextBody"/>
        <w:bidi w:val="0"/>
        <w:spacing w:before="120" w:after="283"/>
        <w:jc w:val="left"/>
        <w:rPr>
          <w:rFonts w:ascii="Times New Roman" w:hAnsi="Times New Roman"/>
          <w:sz w:val="20"/>
        </w:rPr>
      </w:pPr>
      <w:r>
        <w:rPr>
          <w:rFonts w:ascii="Montserrat;sans-serif" w:hAnsi="Montserrat;sans-serif"/>
          <w:color w:val="000000"/>
          <w:sz w:val="18"/>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 Regulatory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or other regulatory authorities regarding CMC matters, including methodologies for, and assessment of, comparability of manufacturing procedures and lots.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Delays in the commencement, conduct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Our product candidates may cause undesirable side effects or have other properties that could halt their clinical development, prevent their regulatory approval, limit their commercial potential or result in other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in the tarcocimab arms of our completed GLEAM and GLIMMER clinical trials, we observed an unexpected increase in cataracts, which we believe may have contributed meaningfully to the failure of each study to meet its primary efficacy endpoint.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most advanced product candidate, tarcocimab, is an anti-VEGF biologic that we have studied in wet AMD, DME, DR and RVO. Our KSI-501 product candidate is a first-in-class bispecific antibody conjugate designed to inhibit two mechanisms implicated in retinal diseases: IL-6 and VEGF. Our KSI-101 product candidate is the unconjugated protein portion of KSI-501 and is a novel bispecific protein targeting IL-6 and VEGF. There are some potential side effects associated with intravitreal anti-VEGF therapies such as intraocular hemorrhage, intraocular pressure elevation, retinal detachment, inflammation, vasculitis, artery occlusion or infection inside the eye, progression of cataract,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tarcocimab, KSI-501 and KSI-101 may heighten the risk of adverse effects associated with anti-VEGF treatments generally, both in the eye and in the rest of the body. There are risks inherent in the intravitreal injection procedure of drugs like tarcocimab, KSI-501 and KSI-101 which can cause injury to the eye and other complications including conjunctival hemorrhage, punctate keratitis, eye pain, conjunctival hyperemia, intra-ocular inflammation and endophthalmitis. Any additional toxicology signal observed, be it real or perceived, may negatively impact perceptions of utilization of tarcocimab, KSI-501 and KSI-101 in broader populations and impact clinical trial enrollment, regulatory approval and commercial success.</w:t>
      </w:r>
    </w:p>
    <w:p>
      <w:pPr>
        <w:pStyle w:val="TextBody"/>
        <w:bidi w:val="0"/>
        <w:spacing w:before="120" w:after="283"/>
        <w:jc w:val="left"/>
        <w:rPr>
          <w:rFonts w:ascii="Times New Roman" w:hAnsi="Times New Roman"/>
          <w:sz w:val="20"/>
        </w:rPr>
      </w:pPr>
      <w:r>
        <w:rPr>
          <w:rFonts w:ascii="Montserrat;sans-serif" w:hAnsi="Montserrat;sans-serif"/>
          <w:color w:val="000000"/>
          <w:sz w:val="18"/>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regulatory authorities may withdraw approvals of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regulatory authorities may require additional warnings on the label;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may be required to change the way the product is administered or conduct additional clinical trials or post-approval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reputation may suffer. </w:t>
      </w:r>
    </w:p>
    <w:p>
      <w:pPr>
        <w:pStyle w:val="TextBody"/>
        <w:bidi w:val="0"/>
        <w:spacing w:before="120" w:after="283"/>
        <w:jc w:val="left"/>
        <w:rPr>
          <w:rFonts w:ascii="Times New Roman" w:hAnsi="Times New Roman"/>
          <w:sz w:val="20"/>
        </w:rPr>
      </w:pPr>
      <w:r>
        <w:rPr>
          <w:rFonts w:ascii="Montserrat;sans-serif" w:hAnsi="Montserrat;sans-serif"/>
          <w:color w:val="000000"/>
          <w:sz w:val="18"/>
        </w:rPr>
        <w:t>Any of these events could prevent us from achieving or maintaining market acceptance of the particular product candidate, if approved, and could significantly harm our business,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may encounter difficulties enrolling patients in our clinical trials, and our clinical development activities could thereby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size of the study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proximity of patients to a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effects of health epidemics, including the resulting shelter-in-place, travel or similar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design of the trial;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new safety events may cause physicians to decrease patient enrollment in our current or planned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competing clinical trials for similar therapies or targeting patient populations meeting our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clinicians’ and patients’ perceptions as to the potential advantages and side effects of the product candidate being studied in relation to other available therapies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ability to obtain and maintain patient consents;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risk that patients enrolled in clinical trials will not complete such trials, for any reason.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Our clinical trials may fail to demonstrate substantial evidence of the durability, efficacy and safety of our product candidates, which would prevent, delay or limit the scope of regulatory approval and commercialization.</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which is especially true for anti-VEGF biologic agents, where available marketed therapies are well-established products with accepted safety profiles.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Clinical testing is expensive and can take many years to complete, and its outcome is inherently uncertain. Failure can occur at any time during the clinical trial process. Most product candidates that begin clinical trials are never approved by regulatory authorities for commercialization.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w:t>
      </w:r>
    </w:p>
    <w:p>
      <w:pPr>
        <w:pStyle w:val="TextBody"/>
        <w:bidi w:val="0"/>
        <w:spacing w:before="120" w:after="283"/>
        <w:jc w:val="left"/>
        <w:rPr>
          <w:rFonts w:ascii="Times New Roman" w:hAnsi="Times New Roman"/>
          <w:sz w:val="20"/>
        </w:rPr>
      </w:pPr>
      <w:r>
        <w:rPr>
          <w:rFonts w:ascii="Montserrat;sans-serif" w:hAnsi="Montserrat;sans-serif"/>
          <w:color w:val="000000"/>
          <w:sz w:val="18"/>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To the extent that the results of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may not be successful in our efforts to continue to create a pipeline of product candidates or to develop commercially successful products. If we fail to successfully identify and develop additional product candidates, our commercial opportunity may be limited.</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One of our strategies is to identify and pursue clinical development of product candidates based on our ABC Platform. Our ABC Platform may not produce a pipeline of viable product candidates, or our competitors may develop platform technologies that render our ABC Platform obsolete or less attractive.</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There are a number of large pharmaceutical and biotechnology companies that are currently pursuing the development of products for the treatment of the retinal diseases for which we have product candidates. Several of our competitors have commercially approved products for the treatment of retinal diseases that we are pursuing or may pursue in the future, including Roche, Regeneron and Novartis for the treatment of wet AMD, DME, DR and RVO. These drugs are well established therapies and are widely accepted by physicians, patients and third-party payors, which may make it difficult to educate these parties on the benefits of switching to any product candidates developed by us. In addition, multiple biosimilars referencing established anti-VEGF therapies have been approved in the United States and are entering the market, which may increase pricing and competitive pressures. Companies that we are aware are developing and/or commercializing therapeutics in the retinal disease area include large companies with significant financial resources, such as Roche, Novartis, Bayer, Regeneron, AbbVie, Boehringer Ingelheim, Amgen, and Samsung Bioepis. In addition to competition from other companies targeting retinal indications, any products we may develop may also face competition from other types of therapies, such as gene-editing therapies and drug delivery devices.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Roche’s product, Vabysmo (faricimab) received FDA approval for the treatment of wet AMD and DME in January 2022 and received FDA approval for RVO in October 2023. Vabysmo has gained rapid adoption since launch and garnered significant market share. Regeneron’s product, Eylea HD (high dose aflibercept) gained FDA approval for the treatment of wet AMD, DME and DR in August 2023 and received FDA approval for RVO in November 2025. It has also become an important therapy in the marketplace due to Regeneron’s incumbent position in retinal diseases. Even if our product candidates present a compelling clinical profile, we may not be able to market our product candidates as effectively as our competitors. For example, entrenched franchises may seek to impede adoption of our product candidates through significant discounts or rebates.</w:t>
      </w:r>
    </w:p>
    <w:p>
      <w:pPr>
        <w:pStyle w:val="TextBody"/>
        <w:bidi w:val="0"/>
        <w:spacing w:before="120" w:after="283"/>
        <w:jc w:val="left"/>
        <w:rPr>
          <w:rFonts w:ascii="Times New Roman" w:hAnsi="Times New Roman"/>
          <w:sz w:val="20"/>
        </w:rPr>
      </w:pPr>
      <w:r>
        <w:rPr>
          <w:rFonts w:ascii="Montserrat;sans-serif" w:hAnsi="Montserrat;sans-serif"/>
          <w:color w:val="000000"/>
          <w:sz w:val="18"/>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product candidates uneconomical or obsolete, and we may not be successful in marketing any product candidates we may develop against competitors.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The manufacture of our product candidates is highly complex and requires substantial lead time to produce.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health epidemics, on-going geopolitical conflicts, global macroeconomic conditions, bank failures or other reasons.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employ multiple steps to attempt to control our manufacturing process to assure that the process works, and the product candidate is made strictly and consistently in compliance with the process.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In the event of significant product loss and materials shortages, we may be unable to produce adequate amounts of our product candidates or products for our operational needs.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rely on third parties for raw materials needed for manufacturing our product candidates. We may not be able to obtain adequate amounts in the future. These challenges are magnified by the international nature of our supply chain, which, for tarcocimab, KSI-501 and KSI-101, requires drug substance and drug product sourced from single source suppliers from China, Japan, the United Kingdom, the United States and Switzerland.</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have limited experience manufacturing any of our product candidates on a commercial scale. If we or any of our third-party manufacturers encounter difficulties in production, or fail to meet rigorously enforced regulatory standards, our ability to provide supply of our product candidates for clinical trials, or our ability to supply our products for patients, if approved, could be delayed or stopped, or we may be unable to establish a commercially viable cost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In order to conduct clinical trials of our product candidates, or supply commercial products, if approved, we will need to manufacture them in small and large quantities. Our third-party manufacturer has made only a limited number of commercial scale lots of tarcocimab based on our ABC Platform. Our manufacturing partners may be unable to successfully increase the manufacturing capacity for any of our product candidates in a timely or cost-effective manner, or at all. In addition, quality issues may arise during scale-up activities.</w:t>
      </w:r>
      <w:r>
        <w:rPr>
          <w:rFonts w:ascii="Times New Roman" w:hAnsi="Times New Roman"/>
          <w:color w:val="FF0000"/>
          <w:sz w:val="20"/>
        </w:rPr>
        <w:t xml:space="preserve"> </w:t>
      </w:r>
      <w:r>
        <w:rPr>
          <w:rFonts w:ascii="Montserrat;sans-serif" w:hAnsi="Montserrat;sans-serif"/>
          <w:color w:val="000000"/>
          <w:sz w:val="18"/>
        </w:rPr>
        <w:t>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pStyle w:val="TextBody"/>
        <w:bidi w:val="0"/>
        <w:spacing w:before="120" w:after="283"/>
        <w:jc w:val="left"/>
        <w:rPr>
          <w:rFonts w:ascii="Times New Roman" w:hAnsi="Times New Roman"/>
          <w:sz w:val="20"/>
        </w:rPr>
      </w:pPr>
      <w:r>
        <w:rPr>
          <w:rFonts w:ascii="Montserrat;sans-serif" w:hAnsi="Montserrat;sans-serif"/>
          <w:color w:val="000000"/>
          <w:sz w:val="18"/>
        </w:rPr>
        <w:t>In addition, the manufacturing process for any products that we may develop is subject to FDA, EMA and foreign regulatory authority approval processes and continuous oversight. We will need to contract with manufacturers who can meet all applicable FDA, EMA and foreign regulatory authority requirements, including complying with current good manufacturing practices, or cGMPs, on an on-going basis.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regulatory authorities, to produce it in sufficient quantities to meet the requirements for the potential launch of the product, or to meet potential future</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demand. For example, our manufacturers are also engaged in the manufacturing of vaccines and other therapeutic treatments, and the success of and demand for these vaccines and other therapeutic treatments means we and our programs are competing for scarce manufacturing resources. We hope to distribute tarcocimab in a prefilled syringe early in our commercial rollout. We may not be able to complete our prefilled syringe activities in a timely manner, or we may fail technically to design and develop a prefilled syringe for tarcocimab.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Changes in methods of manufacturing or formulation of product candidates may result in additional costs or delay.</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As product candidates proceed through preclinical studies to late-stage clinical trials towards potential approval and commercialization, our manufacturing methods and formulation of product candidates may be altered in an effort to optimize manufacturing processes and results. For example, we have created an enhanced, commercial formulation of tarcocimab; however, these changes could cause tarcocimab to perform differently and affect the results of on-going clinical trials or other future clinical trials, and we may need to revert to a prior formulation and may be unable to recover the manufacturing costs of the drug product. In addition, changes to commercial formulations from those studied clinically could also lead regulatory authorities to delay the approval of our marketing applications until we can demonstrate through additional clinical data that there is comparability in the bioavailability of the two different formulations, or they may require us to revert to the prior formulation evaluated clinically. This could delay completion of clinical trials, require the repetition of one or more clinical trials, increase clinical trial costs, delay approval of tarcocimab or any future product candidates and jeopardize our ability to commence sales and generate revenue.</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The development program and timeline of tarcocimab may impact our ability to use the Ursus Facility as intended, which could be costly.</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August 2020, we, together with our wholly owned subsidiary Kodiak Sciences GmbH, entered into a manufacturing agreement with Lonza Ltd for the clinical and commercial supply of our antibody biopolymer conjugate drug substance, which included a custom-built manufacturing facility for the potential clinical and commercial supply of tarcocimab, or the Ursus Facility. The development plan for tarcocimab, and any further changes thereto, as well as the timeline and success of tarcocimab, may impact our ability to fully utilize the Ursus Facility. We may not realize any benefit from the capital expenditures to date, and we may incur substantial additional expenses and capital expenditures to repurpose the Ursus Facility for our other product candidates or for use by third parties, any of which may negatively impact our operating results and financial condition.</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Even if we are successful in utilizing the Ursus Facility, our manufacturing capabilities could be affected by cost-overruns, additional changes in our development plans, unexpected delays, equipment failures, labor shortages, natural disasters, power failures and numerous other factors that could prevent us from realizing the intended benefits of our manufacturing strategy and have a material adverse effect on our business. 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we are unable to establish sales and marketing capabilities or enter into agreements with third parties to sell and market any product candidates we may develop, we may not be successful in commercializing those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Factors that may inhibit our efforts to commercialize any approved product on our own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inability to recruit and retain adequate numbers of effective sales, marketing, reimbursement, customer service, medical affairs and other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inability of sales personnel to obtain access to physicians or educate adequate numbers of physicians on the benefits of prescribing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inability of reimbursement professionals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inability to price our products at a sufficient price point to ensure an adequate and attractive level of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restricted or closed distribution channels that make it difficult to distribute our products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unforeseen costs and expenses associated with creating an independent commercialization organization. </w:t>
      </w:r>
    </w:p>
    <w:p>
      <w:pPr>
        <w:pStyle w:val="TextBody"/>
        <w:bidi w:val="0"/>
        <w:spacing w:before="120" w:after="283"/>
        <w:jc w:val="left"/>
        <w:rPr>
          <w:rFonts w:ascii="Times New Roman" w:hAnsi="Times New Roman"/>
          <w:sz w:val="20"/>
        </w:rPr>
      </w:pPr>
      <w:r>
        <w:rPr>
          <w:rFonts w:ascii="Montserrat;sans-serif" w:hAnsi="Montserrat;sans-serif"/>
          <w:color w:val="000000"/>
          <w:sz w:val="18"/>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Even if any product candidates we develop receive marketing approval, they may fail to achieve the degree of market acceptance by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efficacy and safety of such product candidates as demonstrated in pivotal clinical trials and published in peer-reviewed journals;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potential and perceived advantages of our product label as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ability to offer our products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ability to offer appropriate patient access programs, such as appropriate co-pay assistance;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extent to which physicians recommend our products to their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convenience and ease of dosing and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clinical indications for which the product candidate is approved by FDA, EMA or other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product labeling or product insert requirements of the FDA, EMA or other comparable foreign regulatory authorities, including any limitations, contraindications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restrictions on how the product is distributed;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publicity concerning our products or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sufficient third-party coverage or reimbursement;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prevalence and severity of any side effects.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If any product candidates we develop do not achieve an adequate level of acceptance, we may not generate significant product revenue, and we may not become profitable.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Even if we are able to commercialize any product candidates, such products may become subject to unfavorable pricing regulations, third-party reimbursement practices or healthcare reform initiatives, which would harm our business.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Drug pricing and access policies in the United States and internationally may change and negatively impact the commercial viability of our product candidates. Proposed policy changes, including the Medicare Drug Price Negotiation Program, may limit our ability to competitively price our product candidates, if approved. Further, commercial insurers may limit patient access to our product candidates,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pStyle w:val="TextBody"/>
        <w:bidi w:val="0"/>
        <w:spacing w:before="120" w:after="283"/>
        <w:jc w:val="left"/>
        <w:rPr>
          <w:rFonts w:ascii="Times New Roman" w:hAnsi="Times New Roman"/>
          <w:sz w:val="20"/>
        </w:rPr>
      </w:pPr>
      <w:r>
        <w:rPr>
          <w:rFonts w:ascii="Montserrat;sans-serif" w:hAnsi="Montserrat;sans-serif"/>
          <w:color w:val="000000"/>
          <w:sz w:val="18"/>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Our product candidates may face competition from biological products that are biosimilar to or interchangeable with our product candidates sooner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product liability lawsuits are brought against us, we may incur substantial liabilities and may be required to limit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decreased or interrupted demand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impairment of our business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withdrawal of clinical trial participants and inability to continue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inability to commercialize any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 decline in our share price.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color w:val="000000"/>
          <w:sz w:val="18"/>
        </w:rPr>
        <w:t>Risks Related to Regulatory Approval and Other Legal Compliance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b/>
          <w:i/>
          <w:color w:val="000000"/>
          <w:sz w:val="18"/>
        </w:rPr>
        <w:t>The regulatory approval processes of the FDA, European Medicines Agency, or EMA, and comparable foreign regulatory authorities are lengthy, time consuming, expensive and inherently unpredictable. If we are ultimately unable to obtain regulatory approval for our product candidates, we will be unable to generate product revenue and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Applications for our product candidates could fail to receive regulatory approval for many reasons, including but not limited to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FDA, EMA or comparable foreign regulatory authorities may disagree with the design, implementation or results of our clinical trials or the portfolio of clinical trials planned for submission in our BLA;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FDA, EMA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population studied in the clinical program may not be sufficiently broad or representative to assure efficacy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may be unable to demonstrate to the FDA, EMA or comparable foreign regulatory authorities that a product candidate’s risk-benefit ratio for its proposed indication(s), when compared to the standard of care,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FDA, EMA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data collected from clinical trials of our product candidates may not be sufficient to support the submission of a BLA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study data may not be positive in all clinical trials demonstrating a mix of positive and negative clinical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FDA, EMA or comparable foreign regulatory authorities may fail to approve the chemistry, manufacturing and controls processes, test procedures and specifications, or facilities or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approval policies or regulations of the FDA, EMA or comparable foreign regulatory authorities may significantly change in a manner rendering our clinical data insufficient for approval. </w:t>
      </w:r>
    </w:p>
    <w:p>
      <w:pPr>
        <w:pStyle w:val="TextBody"/>
        <w:bidi w:val="0"/>
        <w:spacing w:before="120" w:after="283"/>
        <w:jc w:val="left"/>
        <w:rPr>
          <w:rFonts w:ascii="Times New Roman" w:hAnsi="Times New Roman"/>
          <w:sz w:val="20"/>
        </w:rPr>
      </w:pPr>
      <w:r>
        <w:rPr>
          <w:rFonts w:ascii="Montserrat;sans-serif" w:hAnsi="Montserrat;sans-serif"/>
          <w:color w:val="000000"/>
          <w:sz w:val="18"/>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have conducted clinical trials for our product candidates outside the United States (or the respective jurisdictions of other regulatory authorities), and the FDA (or EMA and applicable foreign regulatory authorities) may not accept data from such trials.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have conducted one or more of our clinical trials outside the United States, including Europe and other foreign countries. The acceptance of study data from global clinical trials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assurance that the FDA, EMA or any applicable foreign regulatory authority will accept data from trials conducted outside of their respective jurisdiction. If the FDA, EMA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Even if we obtain regulatory approval for a product candidate, our products will remain subject to extensive obligations and continued regulatory review, which may result in significant additional expense, and we may be subject to penalties if we fail to comply with regulatory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issue fines, warning letters or other enforcement-related letters that would result in adverse publicity;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suspend or withdraw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suspend any of our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refuse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impose restrictions on our operations, including closing our contract manufacturers’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seize or detain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require a product recall. </w:t>
      </w:r>
    </w:p>
    <w:p>
      <w:pPr>
        <w:pStyle w:val="TextBody"/>
        <w:bidi w:val="0"/>
        <w:spacing w:before="120" w:after="283"/>
        <w:jc w:val="left"/>
        <w:rPr>
          <w:rFonts w:ascii="Times New Roman" w:hAnsi="Times New Roman"/>
          <w:sz w:val="20"/>
        </w:rPr>
      </w:pPr>
      <w:r>
        <w:rPr>
          <w:rFonts w:ascii="Montserrat;sans-serif" w:hAnsi="Montserrat;sans-serif"/>
          <w:color w:val="000000"/>
          <w:sz w:val="18"/>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In addition, the policies of the FDA and of other regulatory authorities may change and additional government regulations may be enacted that could prevent, limit or delay regulatory approval of our product candidates. For example, the U.S. Supreme Court’s June 2024 decision in</w:t>
      </w:r>
      <w:r>
        <w:rPr>
          <w:rFonts w:ascii="Times New Roman" w:hAnsi="Times New Roman"/>
          <w:color w:val="000000"/>
          <w:sz w:val="20"/>
        </w:rPr>
        <w:t xml:space="preserve"> </w:t>
      </w:r>
      <w:r>
        <w:rPr>
          <w:rFonts w:ascii="Montserrat;sans-serif" w:hAnsi="Montserrat;sans-serif"/>
          <w:i/>
          <w:color w:val="000000"/>
          <w:sz w:val="18"/>
        </w:rPr>
        <w:t>Loper Bright Enterprises v. Raimondo</w:t>
      </w:r>
      <w:r>
        <w:rPr>
          <w:rFonts w:ascii="Times New Roman" w:hAnsi="Times New Roman"/>
          <w:color w:val="000000"/>
          <w:sz w:val="20"/>
        </w:rPr>
        <w:t xml:space="preserve"> </w:t>
      </w:r>
      <w:r>
        <w:rPr>
          <w:rFonts w:ascii="Montserrat;sans-serif" w:hAnsi="Montserrat;sans-serif"/>
          <w:color w:val="000000"/>
          <w:sz w:val="18"/>
        </w:rPr>
        <w:t xml:space="preserve">overturned the longstanding Chevron doctrine, under which courts were required to give deference to regulatory agencies’ reasonable interpretations of ambiguous federal statutes. The </w:t>
      </w:r>
      <w:r>
        <w:rPr>
          <w:rFonts w:ascii="Montserrat;sans-serif" w:hAnsi="Montserrat;sans-serif"/>
          <w:i/>
          <w:color w:val="000000"/>
          <w:sz w:val="18"/>
        </w:rPr>
        <w:t>Loper</w:t>
      </w:r>
      <w:r>
        <w:rPr>
          <w:rFonts w:ascii="Times New Roman" w:hAnsi="Times New Roman"/>
          <w:color w:val="000000"/>
          <w:sz w:val="20"/>
        </w:rPr>
        <w:t xml:space="preserve"> </w:t>
      </w:r>
      <w:r>
        <w:rPr>
          <w:rFonts w:ascii="Montserrat;sans-serif" w:hAnsi="Montserrat;sans-serif"/>
          <w:color w:val="000000"/>
          <w:sz w:val="18"/>
        </w:rPr>
        <w:t xml:space="preserve">decision could result in additional legal challenges to regulations and decisions issued by federal agencies, including the FDA, on which we rely. Any such legal challenges, if successful, could have a material impact on our business. Additionally, the </w:t>
      </w:r>
      <w:r>
        <w:rPr>
          <w:rFonts w:ascii="Montserrat;sans-serif" w:hAnsi="Montserrat;sans-serif"/>
          <w:i/>
          <w:color w:val="000000"/>
          <w:sz w:val="18"/>
        </w:rPr>
        <w:t>Loper</w:t>
      </w:r>
      <w:r>
        <w:rPr>
          <w:rFonts w:ascii="Times New Roman" w:hAnsi="Times New Roman"/>
          <w:color w:val="000000"/>
          <w:sz w:val="20"/>
        </w:rPr>
        <w:t xml:space="preserve"> </w:t>
      </w:r>
      <w:r>
        <w:rPr>
          <w:rFonts w:ascii="Montserrat;sans-serif" w:hAnsi="Montserrat;sans-serif"/>
          <w:color w:val="000000"/>
          <w:sz w:val="18"/>
        </w:rPr>
        <w:t>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Disruptions at the FDA and other government agencies and regulatory authorities caused by funding shortages or a government shutdown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ability of the FDA and comparable foreign regulatory authorities to review and approve new products can be affected by a variety of factors, including government budget and funding levels, government shutdowns,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Disruptions at the FDA and other agencies and comparable regulatory authorities may also slow the time necessary for new drugs or biologics to be reviewed and/or approved by necessary government agencies and regulatory authorities, which would adversely affect our business. For example, over the last several years, including the recent government shutdown that began on October 1, 2025 and ended on November 12, 2025, and previously from December 22, 2018 to January 25, 2019, the U.S. government has shut down several times and certain regulatory agencies, such as the FDA and the SEC, have had to furlough critical government employees and stop critical activities. If another prolonged government shutdown occurs, it could significantly impact the ability of the FDA to timely review and process our regulatory submissions, which could have a material adverse effect on our business.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Healthcare legislative measures aimed at reducing healthcare costs may have a material adverse effect on our business and results of operations.</w:t>
      </w:r>
    </w:p>
    <w:p>
      <w:pPr>
        <w:pStyle w:val="TextBody"/>
        <w:bidi w:val="0"/>
        <w:spacing w:before="120" w:after="283"/>
        <w:jc w:val="left"/>
        <w:rPr>
          <w:rFonts w:ascii="Times New Roman" w:hAnsi="Times New Roman"/>
          <w:sz w:val="20"/>
        </w:rPr>
      </w:pPr>
      <w:r>
        <w:rPr>
          <w:rFonts w:ascii="Montserrat;sans-serif" w:hAnsi="Montserrat;sans-serif"/>
          <w:color w:val="000000"/>
          <w:sz w:val="18"/>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substantially changed the way healthcare is financed by both governmental and private insurers.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Since the ACA’s enactment, there have been numerous challenges and amendments to the ACA.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addition, other legislative changes have been proposed and adopted in the United States since the ACA was enacted. These changes include, for example, aggregate reductions to Medicare payments to providers of 2% per fiscal year, which began in 2013 and will remain in effect until 2032 unless additional Congressional action is taken.</w:t>
      </w:r>
    </w:p>
    <w:p>
      <w:pPr>
        <w:pStyle w:val="TextBody"/>
        <w:bidi w:val="0"/>
        <w:spacing w:before="120" w:after="283"/>
        <w:jc w:val="left"/>
        <w:rPr>
          <w:rFonts w:ascii="Times New Roman" w:hAnsi="Times New Roman"/>
          <w:sz w:val="20"/>
        </w:rPr>
      </w:pPr>
      <w:r>
        <w:rPr>
          <w:rFonts w:ascii="Montserrat;sans-serif" w:hAnsi="Montserrat;sans-serif"/>
          <w:color w:val="000000"/>
          <w:sz w:val="18"/>
        </w:rPr>
        <w:t>There have been, and likely will continue to be, legislative and regulatory proposals at the foreign, federal and state levels directed at containing or lowering the cost of healthcare. For example, the current administration is pursuing policies to reduce regulations and expenditures across government agencies including at HHS, the FDA, the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or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cannot predict the initiatives that may be adopted in the future or their impact on our business. The continuing efforts of the government, insurance companies, managed care organizations and other payors of healthcare services to contain or reduce costs of healthcare and/or impose price controls may adversely affect,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demand for our product candidates,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ability to receive or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availability of capital.</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pStyle w:val="TextBody"/>
        <w:bidi w:val="0"/>
        <w:spacing w:before="120" w:after="283"/>
        <w:jc w:val="left"/>
        <w:rPr>
          <w:rFonts w:ascii="Times New Roman" w:hAnsi="Times New Roman"/>
          <w:sz w:val="20"/>
        </w:rPr>
      </w:pPr>
      <w:r>
        <w:rPr>
          <w:rFonts w:ascii="Montserrat;sans-serif" w:hAnsi="Montserrat;sans-serif"/>
          <w:color w:val="000000"/>
          <w:sz w:val="18"/>
        </w:rPr>
        <w:t>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we fail to comply with healthcare laws, we could face substantial penalties and our business, operations and financial conditions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HIPAA, which created new federal criminal statutes that, among other things,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HIPAA, as amended by HITECH, and their respective implementing regulations, which impose requirements on certain covered healthcare providers, health plans and healthcare clearinghouses and their respective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Montserrat;sans-serif" w:hAnsi="Montserrat;sans-serif"/>
          <w:color w:val="000000"/>
          <w:sz w:val="18"/>
        </w:rPr>
        <w:t>business associates and their subcontractors that perform services for them that involve the use, or disclosure of, individually identifiable health information as well as their covered subcontractors, relating to the privacy, security and transmission of individually identifiable health information;</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CMS under the Open Payments Program, information related to payments or other transfers of value made to physicians (defined to include doctors, dentists, optometrists, podiatrists and chiropractors), other healthcare professionals (such as physician assistant and nurse practitioners), and teaching hospitals,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federal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and local laws that require certain regulatory licenses to manufacture or distribute our products commercially and/or the registration of pharmaceutical sales representatives;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We and the third parties with whom we work are subject to stringent and evolving obligations related to data privacy and security. These obligations include U.S. and foreign laws, regulations and rules; contractual obligations; industry standards and policies. Our (or the third parties with whom we work) actual or perceived failure to comply with such obligations could lead to regulatory investigations and actions; litigation (including class claims) and arbitration; fines and penalties; disruptions of our business operations; reputational harm; loss of revenue and profits; loss of sales and other adverse business consequences.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the ordinary course of business, we and the third parties with whom we work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(collectively, sensitive information). Our data processing activities subject us to numerous data privacy and security obligations such as various laws and regulations, as well as guidance, industry standards, external and internal privacy and security policies, contractual requirements, and other obligations related to data privacy and security. Data privacy and security laws and regulations are evolving and resulting in increased regulatory and public scrutiny and escalating levels of enforcement and sanctions.</w:t>
      </w:r>
    </w:p>
    <w:p>
      <w:pPr>
        <w:pStyle w:val="TextBody"/>
        <w:bidi w:val="0"/>
        <w:spacing w:before="120" w:after="283"/>
        <w:jc w:val="left"/>
        <w:rPr>
          <w:rFonts w:ascii="Times New Roman" w:hAnsi="Times New Roman"/>
          <w:sz w:val="20"/>
        </w:rPr>
      </w:pPr>
      <w:r>
        <w:rPr>
          <w:rFonts w:ascii="Montserrat;sans-serif" w:hAnsi="Montserrat;sans-serif"/>
          <w:color w:val="000000"/>
          <w:sz w:val="18"/>
        </w:rPr>
        <w:t>In the United States, federal, state, and local governments have enacted numerous data privacy and security laws, including data breach notification laws, personal data privacy laws, consumer protection laws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include, in relation to their personal data,</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right to access, correct, delete and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Certain of these state laws allow for statutory fines for noncompliance. For example, the California Consumer Privacy Act, or the CCPA, applies to personal data of consumers, business representatives, and employees who are California residents, and requires businesses subject to the law to provide specific disclosures in privacy notices and respond to requests of such individuals to exercise certain privacy rights. The CCPA provides for civil penalties and a private right of action for certain data breaches (which could lead to the recovery of significant statutory damages). Although these laws may exempt some data processed in the context of clinical trials, these laws increase compliance efforts, legal risks and compliance costs for us and the third parties with whom we work. Similar laws are being considered in other states as well as at the federal and local levels. We expect more legislatures to pass additional privacy or security laws in the future.</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Outside the United States, an increasing number of laws, regulations, and industry standards apply to data privacy and security. For example, the EU GDPR and the United Kingdom’s GDPR, or UK GDPR (collectively, GDPR), impose strict requirements for processing personal data. Violators of these laws face potential significant penalties. For example, under the GDPR, companies may face temporary or definitive bans on data processing and other corrective actions; fines of up to 20 million Euros (under the EU GDPR) or 17.5 million pounds sterling (under the UK GDPR), or 4% of annual global revenue, whichever is greater. Further, the EU and UK GDPR also provide for private litigation related to the processing of personal data that can be brought by classes of data subjects or consumer protection organizations authorized at law to represent the data subjects’ interests.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personnel and others with whom we work use generative artificial intelligence, or AI and/or automated decision-making technologies to perform their work, and the disclosure and use of personal data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addition, we may be unable to transfer personal data from Europe and other jurisdictions to the United States or other countries due to, for example, data localization requirements or limitations on cross-border data transfers.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(such as the EEA standard contractual clauses, the UK’s International Data Transfer Agreement/Addendum, and the EU-U.S. Data Privacy Framework and the UK extension), that may be used to lawfully transfer personal data to the United States or other countries, these mechanisms are subject to legal challenges and there is no assurance that we can satisfy or rely on these measures. An inability or material limitation on our ability to transfer personal data to the United States or other countries could materially impact our business operations. If there were no lawful manner for us to transfer personal data from the EEA, the UK or other jurisdictions to the United States or other jurisdictions, or if the requirements for a legally-compliant transfer are too onerous, we may face increased exposure to regulatory actions, substantial fines, and injunctions against processing or transferring personal data from Europe and other foreign jurisdictions. The inability to transfer personal data to the United States or other jurisdictions could significantly and negatively impact our business operations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 Additionally, entities that transfer personal data out of the EEA and UK to other jurisdictions, particularly to the United States, are subject to increased regulator, individual litigant, and activist group scrutiny. Some European regulators have ordered certain companies to suspend or permanently cease certain data transfers out of Europe for allegedly violating the GDPR’s cross-border data transfer requirements.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impacts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that operate in the clinical trial space and impacts the ability to transfer data in connection with certain transactions or agreements.</w:t>
      </w:r>
    </w:p>
    <w:p>
      <w:pPr>
        <w:pStyle w:val="TextBody"/>
        <w:bidi w:val="0"/>
        <w:spacing w:before="120" w:after="283"/>
        <w:jc w:val="left"/>
        <w:rPr>
          <w:rFonts w:ascii="Times New Roman" w:hAnsi="Times New Roman"/>
          <w:sz w:val="20"/>
        </w:rPr>
      </w:pPr>
      <w:r>
        <w:rPr>
          <w:rFonts w:ascii="Montserrat;sans-serif" w:hAnsi="Montserrat;sans-serif"/>
          <w:color w:val="000000"/>
          <w:sz w:val="18"/>
        </w:rPr>
        <w:t>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successful. We also publish statements regarding data privacy and security. Regulators are increasingly scrutinizing these statements, and if these statements are found to be deficient, lacking in transparency, deceptive, unfair, misleading or misrepresentative of our practices, we may be subject to, among other things, investigations, enforcement actions and other adverse consequences.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Obligations related to data privacy and security (and individuals’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If we or any third party with whom we work fail or are perceived to have failed to address or comply with applicable obligations relating to data privacy and security, we could face significant consequences, including but not limited to: regulatory fines and bans on processing personal data; investigations and enforcement actions, penalties and other liabilities, litigation (including class action claims and mass arbitration demands); additional reporting requirements and/or oversight; orders to destroy or not use personal data; interruptions or stoppages in our development process and business operations (including, as relevant, our clinical trial activities); and damage to our reputation. In particular, plaintiffs have become increasingly more active in bringing privacy-related claims against companies, including class claims and mass arbitration demands. Some of these claims allow for the recovery of statutory damages on a per violation basis which could result in significant damages. Any of these events could have a material adverse effect on our business, financial condition, results of operations and/or growth prospects.</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we or any contract manufacturers and suppliers we engage fail to comply with environmental, health and safety laws,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Our business activities may be subject to the Foreign Corrupt Practices Act, or FCPA, and similar anti-bribery and anti-corruption laws.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color w:val="000000"/>
          <w:sz w:val="18"/>
        </w:rPr>
        <w:t>Risks Related to Our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b/>
          <w:i/>
          <w:color w:val="000000"/>
          <w:sz w:val="18"/>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currently rely and expect to continue to rely on third parties, such as clinical investigators, medical institutions, clinical data management organizations, and other third-party vendors,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currently rely on a third-party manufacturer, Lonza, for the manufacture of our materials for preclinical studies and clinical trials and expect to continue to do so for preclinical studies, clinical trials and for commercial supply of any product candidates that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may be unable to establish any further agreements with third-party manufacturers or to do so on acceptable terms. Even if we are able to establish agreements with third-party manufacturers, reliance on third-party manufacturers entails additional risks,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possible breach of the manufacturing agreement by the third party or us;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possible termination or nonrenewal of the agreement by the third party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possible early termination of the agreement by us at a time that requires us to pay a cancellation fee;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reliance on the third party for regulatory compliance, quality assurance, safety and pharmacovigilance and related reporting;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inability to produce required volume in a timely manner and to quality standards.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Any medicines that we may develop may compete with other product candidates and products for access to manufacturing facilities. There are a limited number of manufacturers that operate under cGMP regulations and that might be capable of manufacturing for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rely on third-party suppliers for key raw materials used in our manufacturing processes, and the loss of these third-party suppliers or their inability to supply us with adequate raw materials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Collaborations involving our product candidates we may develop, pose the following risks to us: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generally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may own or co-own intellectual property covering our product candidates that result from our collaboration with them, and in such cases, we may not have the exclusive right to commercialize such intellectual property 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disputes may arise with respect to the ownership of intellectual property developed pursuant to collaborations;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may need the cooperation of our collaborators to enforce or defend any intellectual property we contribute to or that arises out of our collaborations, which may not be provided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may delay clinical trials, provide insufficient funding for a clinical trial,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with marketing and distribution rights to one or more product candidates may not commit sufficient resources to the marketing and distribution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may undergo a change of control and the new owners may decide to take the collaboration in a direction which is not in our best interest;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may become party to a business combination transaction and the continued pursuit and emphasis on our development or commercialization program by the resulting entity under our existing collaboration could be delayed, diminished or terminated;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may become bankrupt, which may significantly delay our research or development programs, or may cause us to lose access to valuable technology, know-how or intellectual property of the collaborator relating to our products,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key personnel at our collaborators may leave, which could negatively impact our ability to productively work with our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collaborations may require us to incur short and long-term expenditures, issue securities that dilute our stockholders, or disrupt our management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collaborations may be terminated and, if terminated, may result in a need for additional capital to pursue further development or commercialization of the applicable product candidates or our ABC Platform;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collaboration agreements may not lead to development or commercialization of product candidates in the most efficient manner or at all.</w:t>
      </w:r>
    </w:p>
    <w:p>
      <w:pPr>
        <w:pStyle w:val="TextBody"/>
        <w:bidi w:val="0"/>
        <w:spacing w:before="120" w:after="283"/>
        <w:jc w:val="left"/>
        <w:rPr>
          <w:rFonts w:ascii="Times New Roman" w:hAnsi="Times New Roman"/>
          <w:sz w:val="20"/>
        </w:rPr>
      </w:pPr>
      <w:r>
        <w:rPr>
          <w:rFonts w:ascii="Montserrat;sans-serif" w:hAnsi="Montserrat;sans-serif"/>
          <w:color w:val="000000"/>
          <w:sz w:val="18"/>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Reliance on third parties requires us to share our trade secrets, which increases the possibility that a competitor will discover them or that our trade secrets will be misappropriated or disclosed.</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pStyle w:val="TextBody"/>
        <w:bidi w:val="0"/>
        <w:spacing w:before="240" w:after="283"/>
        <w:jc w:val="left"/>
        <w:rPr>
          <w:rFonts w:ascii="Times New Roman" w:hAnsi="Times New Roman"/>
          <w:sz w:val="20"/>
        </w:rPr>
      </w:pPr>
      <w:r>
        <w:rPr>
          <w:rFonts w:ascii="Montserrat;sans-serif" w:hAnsi="Montserrat;sans-serif"/>
          <w:b/>
          <w:color w:val="000000"/>
          <w:sz w:val="18"/>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b/>
          <w:i/>
          <w:color w:val="000000"/>
          <w:sz w:val="18"/>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described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any of our patent applications does not issue as a patent in any jurisdiction, we may not be able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published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the scope of any patent protection we obtain is not sufficiently broad, or if we lose any of our patent protection, our ability to prevent our competitors from commercializing similar or identical technology and product candidates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tarcocimab, KSI-501, and/or KSI-101, if we rely on a different product, its development could involve the use of government funds, which can require additional compliance aspects to make certain all rights are transferred to or remain with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Issued patents may be challenged or invalidated, and relatively recent changes in U.S. patent law have diminished and may further diminish the value of patents in general. We rely on patents to protect our products, and any diminishment in the scope or value of our patents would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As compared to intellectual property-reliant companies generally,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may be subject to claims that former employees, collaborators or other third parties have an interest in our owned or in-licensed patents, trade secrets or other intellectual property as an inventor or co-inventor or owner or</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may be subject to claims that our employees, consultants, or advisors have wrongfully used or disclosed alleged trade secrets of their current or former employers or claims asserting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Third-party claims of intellectual property infringement, misappropriation or other violation against us or our collaborators may prevent or delay the development and commercialization of our product candidates, the ABC Platform and other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procedures including </w:t>
      </w:r>
      <w:r>
        <w:rPr>
          <w:rFonts w:ascii="Montserrat;sans-serif" w:hAnsi="Montserrat;sans-serif"/>
          <w:i/>
          <w:color w:val="000000"/>
          <w:sz w:val="18"/>
        </w:rPr>
        <w:t>inter partes</w:t>
      </w:r>
      <w:r>
        <w:rPr>
          <w:rFonts w:ascii="Times New Roman" w:hAnsi="Times New Roman"/>
          <w:color w:val="000000"/>
          <w:sz w:val="20"/>
        </w:rPr>
        <w:t xml:space="preserve"> </w:t>
      </w:r>
      <w:r>
        <w:rPr>
          <w:rFonts w:ascii="Montserrat;sans-serif" w:hAnsi="Montserrat;sans-serif"/>
          <w:color w:val="000000"/>
          <w:sz w:val="18"/>
        </w:rPr>
        <w:t>review and post-grant review adds uncertainty to the possibility of challenge to our patents.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be alleged to be infringing.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are aware of a number of patents and patent applications that are directed to one or more aspects of tarcocimab, KSI-501, and/or KSI-101. Our intent is to maintain our development efforts under 35 U.S.C. Section 271(e)(1) (which provides a safe harbor from patent infringement claims related to certain drug development activities) through to at least the launch of any tarcocimab, KSI-501, or KSI-101 product. We are aware of at least one pending patent application with claims that are directed to some aspect of tarcocimab, KSI-501, and/or KSI-101 that could, if issued, have a patent term beyond a potential launch date for tarcocimab, KSI-501, or KSI-101. If this were to occur, we may be required to challenge the validity of the claims, obtain a license, modify tarcocimab, KSI-501, or KSI-101, or delay launch. We are also aware of at least one patent family with issued claims that may be relevant to some potential future aspect(s) of KSI-501 and/or KSI-101 and that have a patent term beyond a potential launch date for KSI-501 or KSI-101. If this or any other patent family were perceived as relevant, we may be required to challenge the validity of the claims, obtain a license, modify KSI-501 and/or KSI-101, or delay launch.</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If we choose to further the pipeline and develop a different product, such a product would be delayed until the expiration of any valid patent that is still in force on such product. Alternatively, our options for addressing any such patents relating to these non-tarcocimab, non-KSI-501, and/or non-KSI-101 products would include the following: challenge the validity of the claims, obtain a license, or modify the non-tarcocimab, non-KSI-501, and/or non-KSI-101 products.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may become involved in lawsuits to protect or enforce our patents and other intellectual property rights,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rely on trademarks, service marks, trade 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others may be able to make products that are similar to our product candidates or utilize similar technology but that are not covered by the claims of the patents that we may license or own;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or our current or future licensors or collaborators, might not have been the first to make the inventions covered by the issued patent or pending patent application that we license or own now or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or our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it is possible that our current or future pending owned or licensed patent applications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issued patents that we hold rights to may be held invalid or unenforceable, including as a result of legal challenges by our competitors or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patents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sz w:val="20"/>
        </w:rPr>
      </w:pPr>
      <w:r>
        <w:rPr>
          <w:rFonts w:ascii="Montserrat;sans-serif" w:hAnsi="Montserrat;sans-serif"/>
          <w:color w:val="000000"/>
          <w:sz w:val="18"/>
        </w:rPr>
        <w:t>Should any of these events occur, they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color w:val="000000"/>
          <w:sz w:val="18"/>
        </w:rPr>
        <w:t>Risks Related to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b/>
          <w:i/>
          <w:color w:val="000000"/>
          <w:sz w:val="18"/>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r>
        <w:rPr>
          <w:rFonts w:ascii="Times New Roman" w:hAnsi="Times New Roman"/>
          <w:color w:val="000000"/>
          <w:sz w:val="20"/>
        </w:rPr>
        <w:t xml:space="preserve"> </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We will need to grow the size and capabilities of our organization, and we may experience difficulties in managing this growth.</w:t>
      </w:r>
    </w:p>
    <w:p>
      <w:pPr>
        <w:pStyle w:val="TextBody"/>
        <w:bidi w:val="0"/>
        <w:spacing w:before="120" w:after="283"/>
        <w:jc w:val="left"/>
        <w:rPr>
          <w:rFonts w:ascii="Times New Roman" w:hAnsi="Times New Roman"/>
          <w:sz w:val="20"/>
        </w:rPr>
      </w:pPr>
      <w:r>
        <w:rPr>
          <w:rFonts w:ascii="Montserrat;sans-serif" w:hAnsi="Montserrat;sans-serif"/>
          <w:color w:val="000000"/>
          <w:sz w:val="18"/>
        </w:rPr>
        <w:t>As of June 30, 2026, we had 141 employees.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managing our internal development efforts effectively, including the clinical and FDA review process for our current and future product candidates, while complying with our contractual obligations to contractors and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expanding our operational, financial and management controls, reporting systems and procedures;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managing increasing operational and managerial complexity.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our information technology systems, or those of third parties with whom we work, or our data, were compromised, we could experience adverse consequences resulting from such compromise, including regulatory investigations or actions, significant fines or other liability, interruptions of our development programs, harm to our reputation, and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Cyberattacks, malicious internet-based activity, online and offline fraud, and other similar activities threaten the confidentiality, integrity, and availability of our sensitive information and information technology systems, and those of our research collaborators, contractors, consultants, and other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attacks, including retaliatory cyber-attacks that could materially disrupt our systems and operations and supply chain.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attacks enhanced or facilitated by artificial intelligence, or AI, and other similar threats. Ransomware attacks are becoming increasingly prevalent and severe and can lead to significant interruptions in our operations, loss of data and income, reputational harm, and diversion of funds. Extortion payments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may alleviate the negative impact of a ransomware attack, but we may be unwilling or unable to make such payments due to, for example, applicable laws or regulations prohibiting such payments.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Additionally, remote work increases risks to our information technology systems and data, as our personnel utilize network connections, computers and devices outside of our premises or corporate networks,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rely on third parties to operate critical business systems to process sensitive information in a variety of contexts, including, without limitation, third-party providers of cloud-based infrastructure, encryption and authentication technology, employee email, and other functions. Our ability to monitor these third parties’ information security practices is limited, and these third parties may not have adequate information security measures in place. While we may be entitled to damages if the third parties with whom we work fail to satisfy their privacy or security-related obligations to us, any award may be insufficient to cover our damages, or we may be unable to recover such award. Similarly, supply-chain attacks have increased in frequency and severity, and we cannot guarantee that third parties’ infrastructure in our supply chain or that of the third parties with whom we work have not been compromised. Likewise, we rely on third-party research institution collaborators, other contractors and consultants for many aspects of our business, including research and development activities and manufacturing of our product candidates, and similar events relating to their information systems could also have a material adverse effect on our business.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While we have implemented security measures designed to protect against security incidents, there can be no assurance these measures will be effective.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in the past (and may in the future) experienced delays in developing and deploying remedial measures designed to address identified vulnerabilities.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Certain of the previously identified or similar threats have in the past and may in the future cause a security incident or other interruption that has in the past and may in the future result in unauthorized, unlawful, or accidental acquisition, modification, destruction, loss, alteration, encryption, disclosure of, access to our sensitive information or information technology systems, or those of the third parties with whom we work. For example, we have been the target of unsuccessful phishing attempts in the past, and expect such attempts will continue in the future. Although to our knowledge, we have not experienced a material system failure or security incident to date, if such an event were to occur, it could result in a material disruption of our development programs and our business operations (for example, the loss of clinical trial data from completed, on-going or future clinical trials).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expend resources and may modify our business activities (including our clinical trial activities) to try to protect against security incidents. Certain data privacy and security obligations have required us to implement and maintain specific security measures, industry-standard or reasonable security measures to protect our information technology systems and sensitive information. Additionally, applicable data protection requirements may require us, or we may voluntarily choose, to notify relevant stakeholders of security incidents, including affected individuals, partners, collaborators, regulators, law enforcement agencies, and others,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clinical trial data); financial loss; and other similar harms.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Some of our contracts may not contain limitations of liability, and even where they do, there can be no assurance that limitations or exclusions of liability in our contracts may not be enforceable or adequate or protect us from liability or damages.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materially and adversely affect our reputation, business, financial condition and results of operations.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Business disruptions could seriously harm our future revenue and financial condition and increase our costs and expenses.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operations, and those of our third party vendors,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Reductions in force and decreased funding at FDA may delay review and response to our submissions and applications and have material adverse impact on our business. The occurrence of any of these business disruptions could seriously harm our operations and financial condition and increase our costs and expenses. For example, in connection to health epidemics, the various quarantines, shelter-in-place and similar government orders, or the perception that such orders, shutdowns or other restrictions on the conduct of business operations could occur, related to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health epidemics could impact our results will depend on future developments, which are highly uncertain and cannot be accurately predicted, including the severity and the actions to contain or treat such outbreaks, epidemics, or pandemics, among others.</w:t>
      </w:r>
    </w:p>
    <w:p>
      <w:pPr>
        <w:pStyle w:val="TextBody"/>
        <w:bidi w:val="0"/>
        <w:spacing w:before="120" w:after="283"/>
        <w:jc w:val="left"/>
        <w:rPr>
          <w:rFonts w:ascii="Times New Roman" w:hAnsi="Times New Roman"/>
          <w:sz w:val="20"/>
        </w:rPr>
      </w:pPr>
      <w:r>
        <w:rPr>
          <w:rFonts w:ascii="Montserrat;sans-serif" w:hAnsi="Montserrat;sans-serif"/>
          <w:color w:val="000000"/>
          <w:sz w:val="18"/>
        </w:rPr>
        <w:t>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enterprise resource planning, or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Our business is subject to economic, political, regulatory and other risks associated with international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business is subject to risks associated with conducting business internationally. Some of our suppliers and collaborative relationships are located outside the United States. Accordingly, our future results could be harmed by a variety of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economic weakness, including inflation or political instability in particular non-U.S.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differing and changing regulatory requirements, pricing and reimbursement regimes in non-U.S.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difficulties in compliance with non-U.S. laws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changes in non-U.S. regulations and customs, tariffs and trade barriers;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changes in non-U.S. currency exchange rates and currency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changes in a specific country’s or region’s political or economic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trade protection measures, import or export licensing requirements or other restrictive actions by U.S. or non-U.S. governments;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negative consequences from changes in tax laws;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difficulties associated with staffing and managing international operations, including differing labor relations;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potential liability under the FCPA or comparable foreign 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business interruptions resulting from geo-political actions, including war and terrorism or natural disasters.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Other international, geo-political, and macroeconomic events could also have an adverse impact on our business. The United States and certain other countries may impose significant sanctions, trade restrictions, and other retaliatory actions in response to these events. While we cannot predict the broader consequences of these types of events, the conflict and retaliatory and counter-retaliatory actions could materially adversely affect global trade, currency exchange rates, inflation, regional economies, and the global economy, which in turn may increase our costs, disrupt our supply chain, or otherwise adversely affect our business, financial condition, and results of operations. These and other risks associated with our planned international operations may materially adversely affect our business, financial condition, and ability to attain profitable operations.</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International trade policies, including tariffs, sanctions and trade barriers may adversely affect our business, financial condition, results of operations and prospects.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currently rely, and expect to continue to rely, on third parties that are located outside the United States for the manufacture of our product candidates for clinical testing, as well as for manufacture of any products that we may commercialize, if approved. Current or future tariffs may result in increased research and development expenses, including with respect to increased manufacturing costs. In addition, such tariffs may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In addition, as we advance toward commercialization in the future, tariffs and trade restrictions could hinder our ability to establish cost-effective manufacturing capabilities.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Foreign governments may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and in our Annual Report for the fiscal year ended December 31, 2025.</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Our business could be materially and adversely affected in the future by the effects of disease outbreaks, epidemics and pandemics, as well as the business or operations of our third parties with whom we conduct business.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business could be materially and adversely affected by health epidemics in regions where we have concentrations of clinical trial sites or other business operations and could cause significant disruption in the operations of third parties upon whom we rely.</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addition, our current and future clinical trials may be materially and adversely affected by health epidemics in the future. Site initiation and patient enrollment may be further delayed due to prioritization of hospital resources toward health epidemics.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during health epidemics, and may adversely impact our clinical trial operations. Our employees and our third parties may not be able to travel to study sites, impacting further site initiations and in-person monitoring of study data quality. Our other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health epidemics.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extent to which the risks and evolving effects of health epidemics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Health epidemics may also have the effect of heightening many of the other risks described in this “Risk Factors” section.</w:t>
      </w:r>
    </w:p>
    <w:p>
      <w:pPr>
        <w:pStyle w:val="TextBody"/>
        <w:bidi w:val="0"/>
        <w:spacing w:before="240" w:after="283"/>
        <w:jc w:val="left"/>
        <w:rPr>
          <w:rFonts w:ascii="Times New Roman" w:hAnsi="Times New Roman"/>
          <w:sz w:val="20"/>
        </w:rPr>
      </w:pPr>
      <w:r>
        <w:rPr>
          <w:rFonts w:ascii="Montserrat;sans-serif" w:hAnsi="Montserrat;sans-serif"/>
          <w:b/>
          <w:color w:val="000000"/>
          <w:sz w:val="18"/>
        </w:rPr>
        <w:t>Risks Related to Our Business, Financial Condition and Capital Requirements</w:t>
      </w:r>
      <w:r>
        <w:rPr>
          <w:rFonts w:ascii="Times New Roman" w:hAnsi="Times New Roman"/>
          <w:color w:val="000000"/>
          <w:sz w:val="20"/>
        </w:rPr>
        <w:t xml:space="preserve"> </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We have incurred significant net losses in each period since our inception and anticipate that we will continue to incur significant and increasing net losses for the foreseeable future.</w:t>
      </w:r>
    </w:p>
    <w:p>
      <w:pPr>
        <w:pStyle w:val="TextBody"/>
        <w:bidi w:val="0"/>
        <w:spacing w:before="120" w:after="283"/>
        <w:jc w:val="left"/>
        <w:rPr>
          <w:rFonts w:ascii="Times New Roman" w:hAnsi="Times New Roman"/>
          <w:sz w:val="20"/>
        </w:rPr>
      </w:pPr>
      <w:r>
        <w:rPr>
          <w:rFonts w:ascii="Montserrat;sans-serif" w:hAnsi="Montserrat;sans-serif"/>
          <w:color w:val="000000"/>
          <w:sz w:val="18"/>
        </w:rPr>
        <w:t>We have incurred net losses in each reporting period since our inception, including a net loss of $123.8 million for the six months ended June 30, 2026. As of June 30, 2026, we had an accumulated deficit of $1.7 billion.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quarter-to-quarter and year-to-year, such that a period-to-period comparison of our results of operations may not be a good indication of our future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expect to continue to incur significant and increasingly higher expenses and operating losses for the foreseeable future. We anticipate that our expenses will increase substantially if and as we: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progress our current and any future product candidates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work with our contract manufacturers to scale up the manufacturing processes for our product candidates or, in the future, establish and operate a manufacturing facility;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continue our research and discovery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initiate and conduct additional preclinical, clinical or other studies for our current and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change or add additional contract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seek regulatory approvals and marketing authorizations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establish sales, marketing and distribution infrastructure to commercialize any products for which we obtain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continue the development of our ABC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acquire or in-license product candidates, intellectual property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make milestone, royalty or other payments due under any current or future collaboration or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obtain, maintain, expand, protect and enforce our intellectual property portfolio;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attract, hire and retain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experience any delays or encounter other issues related to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meet the requirements and demands of being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defend against any product liability claims or other lawsuits related to our products.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Drug development is a highly uncertain undertaking and involves a substantial degree of risk. We have never generated any revenue from product sales, and we may never generate revenue or be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ability to generate revenue and achieve profitability depends significantly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successfully completing research and preclinical and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obtaining regulatory approvals and marketing authorizations for product candidates for which we successfully complete clinical development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identifying, assessing, acquiring and/or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negotiating favorable terms in any collaboration, licensing or other arrangements into which we may enter;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launching and successfully commercializing product candidates for which we obtain regulatory and marketing approval, either by collaborating with a partner or, if launched independently, by establishing a sales, marketing and distribution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obtaining and maintaining an adequate price for our product candidates, both in the United States and in foreign countries where our products are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obtaining adequate reimbursement for our product candidates from payors;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obtaining market acceptance of our product candidates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maintaining, protecting, expanding and enforcing our portfolio of intellectual property rights, including patents,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attracting, hiring and retaining qualified personnel. </w:t>
      </w:r>
    </w:p>
    <w:p>
      <w:pPr>
        <w:pStyle w:val="TextBody"/>
        <w:bidi w:val="0"/>
        <w:spacing w:before="120" w:after="283"/>
        <w:jc w:val="left"/>
        <w:rPr>
          <w:rFonts w:ascii="Times New Roman" w:hAnsi="Times New Roman"/>
          <w:sz w:val="20"/>
        </w:rPr>
      </w:pPr>
      <w:r>
        <w:rPr>
          <w:rFonts w:ascii="Montserrat;sans-serif" w:hAnsi="Montserrat;sans-serif"/>
          <w:color w:val="000000"/>
          <w:sz w:val="18"/>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r>
        <w:rPr>
          <w:rFonts w:ascii="Times New Roman" w:hAnsi="Times New Roman"/>
          <w:color w:val="000000"/>
          <w:sz w:val="20"/>
        </w:rPr>
        <w:t xml:space="preserve"> </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Our financial condition raises substantial doubt about our ability to continue as a going concern.</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As of June 30, 2026, we had cash and cash equivalents of $125.9 million. We have incurred net losses and negative cash flows from operations since inception. We expect to continue to incur operating losses and negative operating cash flows for the foreseeable future and as a result, there is substantial doubt regarding our ability to continue as a going concern.</w:t>
      </w:r>
    </w:p>
    <w:p>
      <w:pPr>
        <w:pStyle w:val="TextBody"/>
        <w:bidi w:val="0"/>
        <w:spacing w:before="120" w:after="283"/>
        <w:jc w:val="left"/>
        <w:rPr>
          <w:rFonts w:ascii="Times New Roman" w:hAnsi="Times New Roman"/>
          <w:sz w:val="20"/>
        </w:rPr>
      </w:pPr>
      <w:r>
        <w:rPr>
          <w:rFonts w:ascii="Montserrat;sans-serif" w:hAnsi="Montserrat;sans-serif"/>
          <w:color w:val="000000"/>
          <w:sz w:val="18"/>
        </w:rPr>
        <w:t>We have historically funded our operations primarily through the issuance of common stock and the sale of future royalties. Our ability to achieve and sustain profitability will depend on the successful development, approval and commercialization of our product candidates and on the achievement of sufficient revenue to support our cost structure and, unless and until we do, we will need to raise additional capital to maintain current operations and to continue research and development activities. We continue to monitor and reduce certain expenditures and plan to raise additional capital through approaches that include equity or debt financings, collaborations or a combination of similar transactions. While we have been able to raise multiple rounds of financing, there can be no assurance that such financing will be available on terms which are favorable or at all. We could be required to pause, scale back or discontinue one or more of our development programs, which could adversely affect our business,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any of our future investments or allocations of research and development financial resources result in failed product candidates, our financial condition and business prospects may be significantly adversely impacted and we may never become profitable. Similarly, our potential decisions to delay, terminate or collaborate with third parties in respect of certain product candidates may subsequently also prove to be suboptimal and could cause us to miss valuable opportunities. From time to time, we may prioritize development of certain product candidates or otherwise allocate resources based on assumptions, estimations, calculations and conclusions that we make on the basis of preliminary or interim data which we may not have had the opportunity to fully and carefully evaluate, or which may ultimately differ from final or other future results of the same studies. If we make incorrect determinations regarding the viability or market potential of any of our product candidates, unfavorably allocate resources,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we fail to obtain additional financing, we may be unable to complete the development and, if approved, commercialization of our product candidates.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operations have required substantial amounts of cash since inception. To date, we have funded our operations primarily through the issuance of common stock and the sale of future royalties. Developing our product candidates is expensive, and we expect to continue our spending as we advance our product candidate development efforts. Even if we are successful in developing our product candidates, obtaining regulatory approvals and launching and commercializing any product candidate will require substantial additional funding.</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estimate as to how long we expect our existing cash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will require additional capital for the further development and, if approved, commercialization of our product candidates. Additional capital may not be available when we need it, on terms acceptable to us or at all. For example, geopolitical conflicts in Europe and the Middle East are expected to have further global economic consequences, including disruptions of the global supply chain. Further, inflation rates, particularly in the United States, have increased relatively recently, and the Federal Reserve has raised, and may again raise, interest rates. These conditions of economic uncertainty and market volatility could limit additional capital available to us, if and when needed, and increase its cost if available. In addition, it is possible that we may not be able to access a portion of our existing cash, cash equivalents and investments due to unforeseen market conditions. For example, on March 10, 2023, the Federal Deposit Insurance Corporation, or FDIC, took control and was appointed receiver of Silicon Valley Bank.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we engage in acquisitions, in-licensing or strategic partnerships,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assumption of indebtedness or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issuance of our equity securities which would result in dilution to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assimilation of operations, intellectual property, products and product candidates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diversion of our management’s attention from our existing product candidates and initiatives in pursuing such an acquisition or strategic partnership;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retention of key employees, the loss of key personnel, and uncertainties in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120" w:after="283"/>
        <w:jc w:val="left"/>
        <w:rPr>
          <w:rFonts w:ascii="Times New Roman" w:hAnsi="Times New Roman"/>
          <w:sz w:val="20"/>
        </w:rPr>
      </w:pPr>
      <w:r>
        <w:rPr>
          <w:rFonts w:ascii="Montserrat;sans-serif" w:hAnsi="Montserrat;sans-serif"/>
          <w:color w:val="000000"/>
          <w:sz w:val="18"/>
        </w:rPr>
        <w:t>In addition, if we undertake such a transaction, we may incur large one-time expenses and acquire intangible assets that could result in significant future amortization expense.</w:t>
      </w:r>
      <w:r>
        <w:rPr>
          <w:rFonts w:ascii="Times New Roman" w:hAnsi="Times New Roman"/>
          <w:color w:val="000000"/>
          <w:sz w:val="20"/>
        </w:rPr>
        <w:t xml:space="preserve"> </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Unfavorable U.S. and global economic conditions could adversely affect our business, financial condition or results of operations.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heightened inflation rates, tariffs, geopolitical conflicts, and bank failures,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p>
    <w:p>
      <w:pPr>
        <w:pStyle w:val="TextBody"/>
        <w:bidi w:val="0"/>
        <w:spacing w:before="120" w:after="283"/>
        <w:jc w:val="left"/>
        <w:rPr>
          <w:rFonts w:ascii="Times New Roman" w:hAnsi="Times New Roman"/>
          <w:sz w:val="20"/>
        </w:rPr>
      </w:pPr>
      <w:r>
        <w:rPr>
          <w:rFonts w:ascii="Montserrat;sans-serif" w:hAnsi="Montserrat;sans-serif"/>
          <w:color w:val="000000"/>
          <w:sz w:val="18"/>
        </w:rPr>
        <w:t>A severe or prolonged global economic downturn could result in a variety of risks to our business. For example, inflation rates, particularly in the United States, have increased relatively recently,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FDIC only insures amounts up to $250,000 per depositor. Recently, we have seen the abrupt failure of more than one regional bank. We may from time to time have balances in bank accounts that are in excess of insured deposit limits, and could be subject to risks of bank failures. Similar bank failures could significantly impair our access to funding sources in amounts adequate to finance or capitalize our current and projected future business operations and could negatively impact the financial institutions with which we have direct arrangements, or the financial services industry or economy in general.</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Additionally, financial markets around the world experienced volatility following the invasion of Ukraine by Russia.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have operations, as well as current and potential new suppliers and manufacturers, throughout Europe. If economic conditions in Europe and other key markets for our business remain uncertain or deteriorate further, we could experience adverse effects on our business, financial condition or results of operations.</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As of December 31, 2025, we had $224.3 million of federal and $616.3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U.S. federal tax legislation enacted in 2017, informally titled The Tax Cuts and Jobs Act, or the Tax Act, as modified by the Coronavirus Aid, Relief, and Economic Security Act, or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The new limitations on use of NOLs may significantly impact our ability to utilize our NOLs to offset taxable income in the future.</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Changes in tax laws or regulations that are applied adversely to us or our customers may have a material adverse effect on our business, cash flow, financial condition or results of operations.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More recently, the IRA was enacted which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IRA,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Foreign currency exchange rate risk may impact our financial position and results.</w:t>
      </w:r>
    </w:p>
    <w:p>
      <w:pPr>
        <w:pStyle w:val="TextBody"/>
        <w:bidi w:val="0"/>
        <w:spacing w:before="120" w:after="283"/>
        <w:jc w:val="left"/>
        <w:rPr>
          <w:rFonts w:ascii="Times New Roman" w:hAnsi="Times New Roman"/>
          <w:sz w:val="20"/>
        </w:rPr>
      </w:pPr>
      <w:r>
        <w:rPr>
          <w:rFonts w:ascii="Montserrat;sans-serif" w:hAnsi="Montserrat;sans-serif"/>
          <w:color w:val="000000"/>
          <w:sz w:val="18"/>
        </w:rPr>
        <w:t>We use foreign currency forward contracts to protect against changes in anticipated foreign currency cash flows resulting from changes in foreign currency exchange rates, primarily associated with non-functional currency denominated expenses. We regularly monitor our foreign currency exchange rate exposures to ensure the overall effectiveness of its foreign currency exposures. While we engage in foreign currency hedging activity to reduce our risk, for accounting purposes, none of its foreign currency forward contracts are designated as hedges.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pStyle w:val="TextBody"/>
        <w:bidi w:val="0"/>
        <w:spacing w:before="120" w:after="283"/>
        <w:jc w:val="left"/>
        <w:rPr>
          <w:rFonts w:ascii="Times New Roman" w:hAnsi="Times New Roman"/>
          <w:sz w:val="20"/>
        </w:rPr>
      </w:pPr>
      <w:r>
        <w:rPr>
          <w:rFonts w:ascii="Montserrat;sans-serif" w:hAnsi="Montserrat;sans-serif"/>
          <w:color w:val="000000"/>
          <w:sz w:val="18"/>
        </w:rPr>
        <w:t>As a public company, we are subject to reporting and other obligations under the Exchange Act, including the requirements of the Sarbanes-Oxley Act of 2002, or SOX, Section 404, which require annual management assessments of the effectiveness of our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 These reporting and other obligations place significant demands on our management and administrative and operational resources, including accounting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color w:val="000000"/>
          <w:sz w:val="18"/>
        </w:rPr>
        <w:t>Risks Related to Ownership of Our Common Stock</w:t>
      </w:r>
      <w:r>
        <w:rPr>
          <w:rFonts w:ascii="Times New Roman" w:hAnsi="Times New Roman"/>
          <w:color w:val="000000"/>
          <w:sz w:val="20"/>
        </w:rPr>
        <w:t xml:space="preserve"> </w:t>
      </w:r>
    </w:p>
    <w:p>
      <w:pPr>
        <w:pStyle w:val="TextBody"/>
        <w:bidi w:val="0"/>
        <w:spacing w:before="120" w:after="283"/>
        <w:jc w:val="left"/>
        <w:rPr>
          <w:rFonts w:ascii="Montserrat;sans-serif" w:hAnsi="Montserrat;sans-serif"/>
          <w:b/>
          <w:i/>
          <w:color w:val="000000"/>
          <w:sz w:val="18"/>
        </w:rPr>
      </w:pPr>
      <w:r>
        <w:rPr>
          <w:rFonts w:ascii="Montserrat;sans-serif" w:hAnsi="Montserrat;sans-serif"/>
          <w:b/>
          <w:i/>
          <w:color w:val="000000"/>
          <w:sz w:val="18"/>
        </w:rPr>
        <w:t>The market price of our common stock may be volatile, which could result in substantial losses for investors purchasing shares.</w:t>
      </w:r>
    </w:p>
    <w:p>
      <w:pPr>
        <w:pStyle w:val="TextBody"/>
        <w:bidi w:val="0"/>
        <w:spacing w:before="120" w:after="283"/>
        <w:jc w:val="left"/>
        <w:rPr>
          <w:rFonts w:ascii="Times New Roman" w:hAnsi="Times New Roman"/>
          <w:sz w:val="20"/>
        </w:rPr>
      </w:pPr>
      <w:r>
        <w:rPr>
          <w:rFonts w:ascii="Montserrat;sans-serif" w:hAnsi="Montserrat;sans-serif"/>
          <w:color w:val="000000"/>
          <w:sz w:val="18"/>
        </w:rPr>
        <w:t>The market price of our common stock may be volatile. For example, the closing price of our common stock from January 1, 2026 to August 6, 2026, ranged from a low of $21.01 to a high of $46.44. As a result, shareholders may not be able to sell their common stock at or above the price that they paid for such shares. Some of the factors that may cause the market price of our common stock to fluctuate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success of existing or new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timing and results of clinical trials for our current product candidates and any future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commencement or termination of collaborations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failure or discontinuation of any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failure to develop our ABC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results of preclinical studies, clinical trials or regulatory approvals of product candidates of our competitors, or announcements about new research programs or product candidates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commencement of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level of expenses related to any of our research programs,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results of our efforts to develop additional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sales of our common stock by us, our insiders, or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changes in estimates or recommendations by securities analysts, if any, that cover our stock;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general economic, industry, and market conditions, including the current inflationary environment, lowered consumer confidence, bank failures, major geopolitical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other factors described in this “Risk Factors” section.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including recently in connection with health epidemics, bank failures, broader macroeconomic conditional and/or geopolitical instability, which has resulted in decreased market prices, notwithstanding the lack of a fundamental change in the underlying business models or prospects of those companies. Broad market and industry factors may seriously affect the market price of our common stock, regardless of our actual operating performance. In this regard, worsening economic conditions, relatively heightened interest rates and/or other tapering policies from the government, and other adverse effects or developments relating to health epidemics or general economic environment may negatively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Future sales of our common stock in the public market could cause our share price to decline, even if our business is doing well.</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Raising additional capital may cause dilution to our existing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Our principal stockholders own a significant percentage of our common stock, which could limit your ability to affect the outcome of key transactions, including a change of control.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Delaware law and provisions in our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authorize our board of directors to issue shares of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provide our board of directors with the exclusive right to elect a director to fill a vacancy or newly created directorship;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permit stockholders to only take actions at a duly called annual or special meeting and not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authorize our board of directors, by a majority vote,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require the affirmative vote of at least 66 2/3% or more of the outstanding shares of common stock to amend many of the provisions described above. </w:t>
      </w:r>
    </w:p>
    <w:p>
      <w:pPr>
        <w:pStyle w:val="TextBody"/>
        <w:bidi w:val="0"/>
        <w:spacing w:before="120" w:after="283"/>
        <w:jc w:val="left"/>
        <w:rPr>
          <w:rFonts w:ascii="Times New Roman" w:hAnsi="Times New Roman"/>
          <w:sz w:val="20"/>
        </w:rPr>
      </w:pPr>
      <w:r>
        <w:rPr>
          <w:rFonts w:ascii="Montserrat;sans-serif" w:hAnsi="Montserrat;sans-serif"/>
          <w:color w:val="000000"/>
          <w:sz w:val="18"/>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bylaws provide that the Court of Chancery of the State of Delaware will be the exclusive forum for:</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any 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any action asserting a claim of breach of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any action asserting a claim against us arising under the DGCL, our certificate of incorporation, or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any action asserting a claim against us that is governed by the internal-affairs doctrine.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bylaws further provide that the U.S. federal district courts will be the exclusive forum for resolving any complaint asserting a cause of action arising under the Securities Act.</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240" w:after="283"/>
        <w:jc w:val="left"/>
        <w:rPr>
          <w:rFonts w:ascii="Times New Roman" w:hAnsi="Times New Roman"/>
          <w:sz w:val="20"/>
        </w:rPr>
      </w:pPr>
      <w:bookmarkStart w:id="27" w:name="ii_item2"/>
      <w:bookmarkEnd w:id="27"/>
      <w:r>
        <w:rPr>
          <w:rFonts w:ascii="Montserrat;sans-serif" w:hAnsi="Montserrat;sans-serif"/>
          <w:b/>
          <w:color w:val="000000"/>
          <w:sz w:val="18"/>
        </w:rPr>
        <w:t xml:space="preserve">Item 2. </w:t>
      </w:r>
      <w:bookmarkStart w:id="28" w:name="item_2_unregistered_sales_equity_securit"/>
      <w:bookmarkEnd w:id="28"/>
      <w:r>
        <w:rPr>
          <w:rFonts w:ascii="Montserrat;sans-serif" w:hAnsi="Montserrat;sans-serif"/>
          <w:b/>
          <w:color w:val="000000"/>
          <w:sz w:val="18"/>
        </w:rPr>
        <w:t>Unregistered Sales of Equity Securities and Use of Proceeds.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None.</w:t>
      </w:r>
    </w:p>
    <w:p>
      <w:pPr>
        <w:pStyle w:val="TextBody"/>
        <w:bidi w:val="0"/>
        <w:spacing w:before="240" w:after="283"/>
        <w:jc w:val="left"/>
        <w:rPr>
          <w:rFonts w:ascii="Montserrat;sans-serif" w:hAnsi="Montserrat;sans-serif"/>
          <w:b/>
          <w:color w:val="000000"/>
          <w:sz w:val="18"/>
        </w:rPr>
      </w:pPr>
      <w:bookmarkStart w:id="29" w:name="item_3_defaults_upon_senior_securities"/>
      <w:bookmarkEnd w:id="29"/>
      <w:r>
        <w:rPr>
          <w:rFonts w:ascii="Montserrat;sans-serif" w:hAnsi="Montserrat;sans-serif"/>
          <w:b/>
          <w:color w:val="000000"/>
          <w:sz w:val="18"/>
        </w:rPr>
        <w:t>Item 3. Defaults Upon Senior Securities.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None.</w:t>
      </w:r>
    </w:p>
    <w:p>
      <w:pPr>
        <w:pStyle w:val="TextBody"/>
        <w:bidi w:val="0"/>
        <w:spacing w:before="240" w:after="283"/>
        <w:jc w:val="left"/>
        <w:rPr>
          <w:rFonts w:ascii="Montserrat;sans-serif" w:hAnsi="Montserrat;sans-serif"/>
          <w:b/>
          <w:color w:val="000000"/>
          <w:sz w:val="18"/>
        </w:rPr>
      </w:pPr>
      <w:bookmarkStart w:id="30" w:name="item_4_mine_safety_disclosures"/>
      <w:bookmarkEnd w:id="30"/>
      <w:r>
        <w:rPr>
          <w:rFonts w:ascii="Montserrat;sans-serif" w:hAnsi="Montserrat;sans-serif"/>
          <w:b/>
          <w:color w:val="000000"/>
          <w:sz w:val="18"/>
        </w:rPr>
        <w:t>Item 4. Mine Safety Disclosures.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None.</w:t>
      </w:r>
    </w:p>
    <w:p>
      <w:pPr>
        <w:pStyle w:val="TextBody"/>
        <w:bidi w:val="0"/>
        <w:spacing w:before="240" w:after="283"/>
        <w:jc w:val="left"/>
        <w:rPr>
          <w:rFonts w:ascii="Montserrat;sans-serif" w:hAnsi="Montserrat;sans-serif"/>
          <w:b/>
          <w:color w:val="000000"/>
          <w:sz w:val="18"/>
        </w:rPr>
      </w:pPr>
      <w:bookmarkStart w:id="31" w:name="item_5_or_information"/>
      <w:bookmarkEnd w:id="31"/>
      <w:r>
        <w:rPr>
          <w:rFonts w:ascii="Montserrat;sans-serif" w:hAnsi="Montserrat;sans-serif"/>
          <w:b/>
          <w:color w:val="000000"/>
          <w:sz w:val="18"/>
        </w:rPr>
        <w:t>Item 5. Other Information.</w:t>
      </w:r>
    </w:p>
    <w:p>
      <w:pPr>
        <w:pStyle w:val="TextBody"/>
        <w:bidi w:val="0"/>
        <w:spacing w:before="120" w:after="240"/>
        <w:jc w:val="left"/>
        <w:rPr>
          <w:rFonts w:ascii="Montserrat;sans-serif" w:hAnsi="Montserrat;sans-serif"/>
          <w:color w:val="000000"/>
          <w:sz w:val="18"/>
        </w:rPr>
      </w:pPr>
      <w:r>
        <w:rPr>
          <w:rFonts w:ascii="Montserrat;sans-serif" w:hAnsi="Montserrat;sans-serif"/>
          <w:color w:val="000000"/>
          <w:sz w:val="18"/>
        </w:rPr>
        <w:t>None.</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2" w:name="ii_item6"/>
      <w:bookmarkEnd w:id="32"/>
      <w:r>
        <w:rPr>
          <w:rFonts w:ascii="Montserrat;sans-serif" w:hAnsi="Montserrat;sans-serif"/>
          <w:b/>
          <w:color w:val="000000"/>
          <w:sz w:val="18"/>
        </w:rPr>
        <w:t>Item 6. E</w:t>
      </w:r>
      <w:bookmarkStart w:id="33" w:name="item_6_exhibits"/>
      <w:bookmarkEnd w:id="33"/>
      <w:r>
        <w:rPr>
          <w:rFonts w:ascii="Montserrat;sans-serif" w:hAnsi="Montserrat;sans-serif"/>
          <w:b/>
          <w:color w:val="000000"/>
          <w:sz w:val="18"/>
        </w:rPr>
        <w:t>xhibits.</w:t>
      </w:r>
    </w:p>
    <w:p>
      <w:pPr>
        <w:pStyle w:val="TextBody"/>
        <w:bidi w:val="0"/>
        <w:spacing w:before="120" w:after="60"/>
        <w:jc w:val="left"/>
        <w:rPr>
          <w:rFonts w:ascii="Montserrat;sans-serif" w:hAnsi="Montserrat;sans-serif"/>
          <w:i/>
          <w:color w:val="000000"/>
          <w:sz w:val="18"/>
        </w:rPr>
      </w:pPr>
      <w:r>
        <w:rPr>
          <w:rFonts w:ascii="Montserrat;sans-serif" w:hAnsi="Montserrat;sans-serif"/>
          <w:i/>
          <w:color w:val="000000"/>
          <w:sz w:val="18"/>
        </w:rPr>
        <w:t>(a)</w:t>
      </w:r>
    </w:p>
    <w:p>
      <w:pPr>
        <w:pStyle w:val="TextBody"/>
        <w:bidi w:val="0"/>
        <w:spacing w:before="120" w:after="60"/>
        <w:jc w:val="left"/>
        <w:rPr>
          <w:rFonts w:ascii="Montserrat;sans-serif" w:hAnsi="Montserrat;sans-serif"/>
          <w:i/>
          <w:color w:val="000000"/>
          <w:sz w:val="18"/>
        </w:rPr>
      </w:pPr>
      <w:r>
        <w:rPr>
          <w:rFonts w:ascii="Montserrat;sans-serif" w:hAnsi="Montserrat;sans-serif"/>
          <w:i/>
          <w:color w:val="000000"/>
          <w:sz w:val="18"/>
        </w:rPr>
        <w:t>Exhibits.</w:t>
      </w:r>
    </w:p>
    <w:tbl>
      <w:tblPr>
        <w:tblW w:w="10205" w:type="dxa"/>
        <w:jc w:val="left"/>
        <w:tblInd w:w="0" w:type="dxa"/>
        <w:tblLayout w:type="fixed"/>
        <w:tblCellMar>
          <w:top w:w="28" w:type="dxa"/>
          <w:left w:w="28" w:type="dxa"/>
          <w:bottom w:w="28" w:type="dxa"/>
          <w:right w:w="28" w:type="dxa"/>
        </w:tblCellMar>
      </w:tblPr>
      <w:tblGrid>
        <w:gridCol w:w="946"/>
        <w:gridCol w:w="146"/>
        <w:gridCol w:w="5566"/>
        <w:gridCol w:w="146"/>
        <w:gridCol w:w="586"/>
        <w:gridCol w:w="146"/>
        <w:gridCol w:w="799"/>
        <w:gridCol w:w="146"/>
        <w:gridCol w:w="766"/>
        <w:gridCol w:w="146"/>
        <w:gridCol w:w="812"/>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1"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Incorporated by Reference</w:t>
            </w:r>
          </w:p>
        </w:tc>
      </w:tr>
      <w:tr>
        <w:trPr/>
        <w:tc>
          <w:tcPr>
            <w:tcW w:w="94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Montserrat;sans-serif" w:hAnsi="Montserrat;sans-serif"/>
                <w:b/>
                <w:color w:val="000000"/>
                <w:sz w:val="18"/>
              </w:rPr>
            </w:pPr>
            <w:r>
              <w:rPr>
                <w:rFonts w:ascii="Montserrat;sans-serif" w:hAnsi="Montserrat;sans-serif"/>
                <w:b/>
                <w:color w:val="000000"/>
                <w:sz w:val="18"/>
              </w:rPr>
              <w:t>Exhibit</w:t>
            </w:r>
          </w:p>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Filing Date</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Montserrat;sans-serif" w:hAnsi="Montserrat;sans-serif"/>
                  <w:color w:val="0000FF"/>
                  <w:sz w:val="18"/>
                  <w:u w:val="single"/>
                </w:rPr>
                <w:t>Amended and Restated Certificate of Incorporation of Kodiak Sciences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001-38682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11/16/2018</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Montserrat;sans-serif" w:hAnsi="Montserrat;sans-serif"/>
                  <w:color w:val="0000FF"/>
                  <w:sz w:val="18"/>
                  <w:u w:val="single"/>
                </w:rPr>
                <w:t>Amended and Restated Bylaws of Kodiak Sciences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001-38682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11/16/2018</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1.htm">
              <w:r>
                <w:rPr>
                  <w:rStyle w:val="InternetLink"/>
                  <w:rFonts w:ascii="Montserrat;sans-serif" w:hAnsi="Montserrat;sans-serif"/>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2.htm">
              <w:r>
                <w:rPr>
                  <w:rStyle w:val="InternetLink"/>
                  <w:rFonts w:ascii="Montserrat;sans-serif" w:hAnsi="Montserrat;sans-serif"/>
                  <w:color w:val="0000FF"/>
                  <w:sz w:val="18"/>
                  <w:u w:val="single"/>
                </w:rPr>
                <w:t>Certification of Principal Accounting and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1.htm">
              <w:r>
                <w:rPr>
                  <w:rStyle w:val="InternetLink"/>
                  <w:rFonts w:ascii="Montserrat;sans-serif" w:hAnsi="Montserrat;sans-serif"/>
                  <w:color w:val="0000FF"/>
                  <w:sz w:val="18"/>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2.htm">
              <w:r>
                <w:rPr>
                  <w:rStyle w:val="InternetLink"/>
                  <w:rFonts w:ascii="Montserrat;sans-serif" w:hAnsi="Montserrat;sans-serif"/>
                  <w:color w:val="0000FF"/>
                  <w:sz w:val="18"/>
                  <w:u w:val="single"/>
                </w:rPr>
                <w:t>Certification of Principal Accounting and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Inline XBRL Instance Document (the instance document does not appear in the Interactive Data File because its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Cover Page Interactive Data File (formatted as Inline XBRL with applicable taxonomy extension information contained in Exhibits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Montserrat;sans-serif" w:hAnsi="Montserrat;sans-serif"/>
          <w:color w:val="000000"/>
          <w:sz w:val="16"/>
        </w:rPr>
      </w:pPr>
      <w:r>
        <w:rPr>
          <w:rFonts w:ascii="Montserrat;sans-serif" w:hAnsi="Montserrat;sans-serif"/>
          <w:color w:val="000000"/>
          <w:sz w:val="16"/>
        </w:rPr>
        <w:t>* 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4" w:name="signatures"/>
      <w:bookmarkEnd w:id="34"/>
      <w:r>
        <w:rPr>
          <w:rFonts w:ascii="Montserrat;sans-serif" w:hAnsi="Montserrat;sans-serif"/>
          <w:b/>
          <w:color w:val="000000"/>
          <w:sz w:val="18"/>
        </w:rPr>
        <w:t>SIGNAT</w:t>
      </w:r>
      <w:bookmarkStart w:id="35" w:name="signature"/>
      <w:bookmarkEnd w:id="35"/>
      <w:r>
        <w:rPr>
          <w:rFonts w:ascii="Montserrat;sans-serif" w:hAnsi="Montserrat;sans-serif"/>
          <w:b/>
          <w:color w:val="000000"/>
          <w:sz w:val="18"/>
        </w:rPr>
        <w:t>URES</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787" w:type="dxa"/>
        <w:jc w:val="left"/>
        <w:tblInd w:w="0" w:type="dxa"/>
        <w:tblLayout w:type="fixed"/>
        <w:tblCellMar>
          <w:top w:w="28" w:type="dxa"/>
          <w:left w:w="28" w:type="dxa"/>
          <w:bottom w:w="28" w:type="dxa"/>
          <w:right w:w="28" w:type="dxa"/>
        </w:tblCellMar>
      </w:tblPr>
      <w:tblGrid>
        <w:gridCol w:w="2206"/>
        <w:gridCol w:w="109"/>
        <w:gridCol w:w="391"/>
        <w:gridCol w:w="408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KODIAK SCIENCES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By:</w:t>
            </w:r>
          </w:p>
        </w:tc>
        <w:tc>
          <w:tcPr>
            <w:tcW w:w="40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/s/ Victor Perlroth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Victor Perlroth, M.D.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jc w:val="center"/>
              <w:rPr>
                <w:rFonts w:ascii="Montserrat;sans-serif" w:hAnsi="Montserrat;sans-serif"/>
                <w:color w:val="000000"/>
                <w:sz w:val="18"/>
              </w:rPr>
            </w:pPr>
            <w:r>
              <w:rPr>
                <w:rFonts w:ascii="Montserrat;sans-serif" w:hAnsi="Montserrat;sans-serif"/>
                <w:color w:val="000000"/>
                <w:sz w:val="18"/>
              </w:rPr>
              <w:t>Chairman and Chief Executive Officer</w:t>
            </w:r>
          </w:p>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(Principal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By:</w:t>
            </w:r>
          </w:p>
        </w:tc>
        <w:tc>
          <w:tcPr>
            <w:tcW w:w="40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/s/ 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18"/>
              </w:rPr>
            </w:pPr>
            <w:r>
              <w:rPr>
                <w:rFonts w:ascii="Montserrat;sans-serif" w:hAnsi="Montserrat;sans-serif"/>
                <w:color w:val="000000"/>
                <w:sz w:val="18"/>
              </w:rPr>
              <w:t>Chief Financial Officer</w:t>
            </w:r>
            <w:r>
              <w:rPr>
                <w:rFonts w:ascii="Times New Roman" w:hAnsi="Times New Roman"/>
                <w:color w:val="000000"/>
                <w:sz w:val="18"/>
              </w:rPr>
              <w:t xml:space="preserve"> </w:t>
            </w:r>
          </w:p>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(Principal Accounting and Financial Officer)</w:t>
            </w:r>
          </w:p>
        </w:tc>
      </w:tr>
    </w:tbl>
    <w:p>
      <w:pPr>
        <w:pStyle w:val="TextBody"/>
        <w:bidi w:val="0"/>
        <w:jc w:val="left"/>
        <w:rPr/>
      </w:pPr>
      <w:r>
        <w:rPr/>
        <w:t>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69</w:t>
      </w:r>
    </w:p>
    <w:p>
      <w:pPr>
        <w:pStyle w:val="HorizontalLine"/>
        <w:pBdr>
          <w:bottom w:val="double" w:sz="2" w:space="0" w:color="808080"/>
        </w:pBdr>
        <w:bidi w:val="0"/>
        <w:spacing w:before="0" w:after="283"/>
        <w:jc w:val="left"/>
        <w:rPr/>
      </w:pPr>
      <w:r>
        <w:rPr/>
      </w:r>
    </w:p>
    <w:p>
      <w:pPr>
        <w:pStyle w:val="TextBody"/>
        <w:bidi w:val="0"/>
        <w:jc w:val="left"/>
        <w:rPr/>
      </w:pPr>
      <w:bookmarkStart w:id="36" w:name="kod-ex31_1.htm"/>
      <w:bookmarkStart w:id="37" w:name="kskodex31_1"/>
      <w:bookmarkEnd w:id="36"/>
      <w:bookmarkEnd w:id="37"/>
      <w:r>
        <w:rPr/>
        <w:t> </w:t>
      </w:r>
      <w:r>
        <w:br w:type="page"/>
      </w:r>
    </w:p>
    <w:p>
      <w:pPr>
        <w:pStyle w:val="TextBody"/>
        <w:bidi w:val="0"/>
        <w:jc w:val="right"/>
        <w:rPr>
          <w:rFonts w:ascii="Montserrat;sans-serif" w:hAnsi="Montserrat;sans-serif"/>
          <w:b/>
          <w:color w:val="000000"/>
          <w:sz w:val="18"/>
        </w:rPr>
      </w:pPr>
      <w:r>
        <w:rPr>
          <w:rFonts w:ascii="Montserrat;sans-serif" w:hAnsi="Montserrat;sans-serif"/>
          <w:b/>
          <w:color w:val="000000"/>
          <w:sz w:val="18"/>
        </w:rPr>
        <w:t>Exhibit 31.1</w:t>
      </w:r>
    </w:p>
    <w:p>
      <w:pPr>
        <w:pStyle w:val="TextBody"/>
        <w:bidi w:val="0"/>
        <w:spacing w:before="240" w:after="283"/>
        <w:jc w:val="center"/>
        <w:rPr>
          <w:rFonts w:ascii="Montserrat;sans-serif" w:hAnsi="Montserrat;sans-serif"/>
          <w:b/>
          <w:color w:val="000000"/>
          <w:sz w:val="18"/>
        </w:rPr>
      </w:pPr>
      <w:r>
        <w:rPr>
          <w:rFonts w:ascii="Montserrat;sans-serif" w:hAnsi="Montserrat;sans-serif"/>
          <w:b/>
          <w:color w:val="000000"/>
          <w:sz w:val="18"/>
        </w:rPr>
        <w:t>CERTIFICATION PURSUANT TO</w:t>
      </w:r>
    </w:p>
    <w:p>
      <w:pPr>
        <w:pStyle w:val="TextBody"/>
        <w:bidi w:val="0"/>
        <w:jc w:val="center"/>
        <w:rPr>
          <w:rFonts w:ascii="Montserrat;sans-serif" w:hAnsi="Montserrat;sans-serif"/>
          <w:b/>
          <w:color w:val="000000"/>
          <w:sz w:val="18"/>
        </w:rPr>
      </w:pPr>
      <w:r>
        <w:rPr>
          <w:rFonts w:ascii="Montserrat;sans-serif" w:hAnsi="Montserrat;sans-serif"/>
          <w:b/>
          <w:color w:val="000000"/>
          <w:sz w:val="18"/>
        </w:rPr>
        <w:t>RULES 13a-14(a) AND 15d-14(a) UNDER THE SECURITIES EXCHANGE ACT OF 1934,</w:t>
      </w:r>
    </w:p>
    <w:p>
      <w:pPr>
        <w:pStyle w:val="TextBody"/>
        <w:bidi w:val="0"/>
        <w:jc w:val="center"/>
        <w:rPr>
          <w:rFonts w:ascii="Montserrat;sans-serif" w:hAnsi="Montserrat;sans-serif"/>
          <w:b/>
          <w:color w:val="000000"/>
          <w:sz w:val="18"/>
        </w:rPr>
      </w:pPr>
      <w:r>
        <w:rPr>
          <w:rFonts w:ascii="Montserrat;sans-serif" w:hAnsi="Montserrat;sans-serif"/>
          <w:b/>
          <w:color w:val="000000"/>
          <w:sz w:val="18"/>
        </w:rPr>
        <w:t>AS ADOPTED PURSUANT TO SECTION 302 OF THE SARBANES-OXLEY ACT OF 2002</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I, Victor Perlroth, M.D., certify that:</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1.</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I have reviewed this Quarterly Report on Form 10-Q of Kodiak Sciences Inc.;</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2.</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3.</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4.</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(a)</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(b)</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(c)</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(d)</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5.</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(a)</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(b)</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247" w:type="dxa"/>
        <w:jc w:val="left"/>
        <w:tblInd w:w="0" w:type="dxa"/>
        <w:tblLayout w:type="fixed"/>
        <w:tblCellMar>
          <w:top w:w="28" w:type="dxa"/>
          <w:left w:w="28" w:type="dxa"/>
          <w:bottom w:w="28" w:type="dxa"/>
          <w:right w:w="28" w:type="dxa"/>
        </w:tblCellMar>
      </w:tblPr>
      <w:tblGrid>
        <w:gridCol w:w="2206"/>
        <w:gridCol w:w="109"/>
        <w:gridCol w:w="391"/>
        <w:gridCol w:w="354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By:</w:t>
            </w:r>
          </w:p>
        </w:tc>
        <w:tc>
          <w:tcPr>
            <w:tcW w:w="35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/s/ Victor Perlroth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Victor Perlroth, M.D.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tcBorders/>
            <w:shd w:fill="FFFFFF" w:val="clear"/>
            <w:tcMar>
              <w:top w:w="0" w:type="dxa"/>
              <w:left w:w="0" w:type="dxa"/>
              <w:bottom w:w="0" w:type="dxa"/>
              <w:right w:w="0" w:type="dxa"/>
            </w:tcMar>
            <w:vAlign w:val="center"/>
          </w:tcPr>
          <w:p>
            <w:pPr>
              <w:pStyle w:val="TableContents"/>
              <w:bidi w:val="0"/>
              <w:jc w:val="center"/>
              <w:rPr>
                <w:rFonts w:ascii="Montserrat;sans-serif" w:hAnsi="Montserrat;sans-serif"/>
                <w:color w:val="000000"/>
                <w:sz w:val="18"/>
              </w:rPr>
            </w:pPr>
            <w:r>
              <w:rPr>
                <w:rFonts w:ascii="Montserrat;sans-serif" w:hAnsi="Montserrat;sans-serif"/>
                <w:color w:val="000000"/>
                <w:sz w:val="18"/>
              </w:rPr>
              <w:t>Chairman and Chief Executive Officer</w:t>
            </w:r>
          </w:p>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kod-ex31_2.htm"/>
      <w:bookmarkStart w:id="39" w:name="kskodex31_2"/>
      <w:bookmarkEnd w:id="38"/>
      <w:bookmarkEnd w:id="39"/>
      <w:r>
        <w:rPr/>
        <w:t> </w:t>
      </w:r>
      <w:r>
        <w:br w:type="page"/>
      </w:r>
    </w:p>
    <w:p>
      <w:pPr>
        <w:pStyle w:val="TextBody"/>
        <w:bidi w:val="0"/>
        <w:jc w:val="right"/>
        <w:rPr>
          <w:rFonts w:ascii="Montserrat;sans-serif" w:hAnsi="Montserrat;sans-serif"/>
          <w:b/>
          <w:color w:val="000000"/>
          <w:sz w:val="18"/>
        </w:rPr>
      </w:pPr>
      <w:r>
        <w:rPr>
          <w:rFonts w:ascii="Montserrat;sans-serif" w:hAnsi="Montserrat;sans-serif"/>
          <w:b/>
          <w:color w:val="000000"/>
          <w:sz w:val="18"/>
        </w:rPr>
        <w:t>Exhibit 31.2</w:t>
      </w:r>
    </w:p>
    <w:p>
      <w:pPr>
        <w:pStyle w:val="TextBody"/>
        <w:bidi w:val="0"/>
        <w:spacing w:before="240" w:after="283"/>
        <w:jc w:val="center"/>
        <w:rPr>
          <w:rFonts w:ascii="Montserrat;sans-serif" w:hAnsi="Montserrat;sans-serif"/>
          <w:b/>
          <w:color w:val="000000"/>
          <w:sz w:val="18"/>
        </w:rPr>
      </w:pPr>
      <w:r>
        <w:rPr>
          <w:rFonts w:ascii="Montserrat;sans-serif" w:hAnsi="Montserrat;sans-serif"/>
          <w:b/>
          <w:color w:val="000000"/>
          <w:sz w:val="18"/>
        </w:rPr>
        <w:t>CERTIFICATION PURSUANT TO</w:t>
      </w:r>
    </w:p>
    <w:p>
      <w:pPr>
        <w:pStyle w:val="TextBody"/>
        <w:bidi w:val="0"/>
        <w:jc w:val="center"/>
        <w:rPr>
          <w:rFonts w:ascii="Montserrat;sans-serif" w:hAnsi="Montserrat;sans-serif"/>
          <w:b/>
          <w:color w:val="000000"/>
          <w:sz w:val="18"/>
        </w:rPr>
      </w:pPr>
      <w:r>
        <w:rPr>
          <w:rFonts w:ascii="Montserrat;sans-serif" w:hAnsi="Montserrat;sans-serif"/>
          <w:b/>
          <w:color w:val="000000"/>
          <w:sz w:val="18"/>
        </w:rPr>
        <w:t>RULES 13a-14(a) AND 15d-14(a) UNDER THE SECURITIES EXCHANGE ACT OF 1934,</w:t>
      </w:r>
    </w:p>
    <w:p>
      <w:pPr>
        <w:pStyle w:val="TextBody"/>
        <w:bidi w:val="0"/>
        <w:jc w:val="center"/>
        <w:rPr>
          <w:rFonts w:ascii="Montserrat;sans-serif" w:hAnsi="Montserrat;sans-serif"/>
          <w:b/>
          <w:color w:val="000000"/>
          <w:sz w:val="18"/>
        </w:rPr>
      </w:pPr>
      <w:r>
        <w:rPr>
          <w:rFonts w:ascii="Montserrat;sans-serif" w:hAnsi="Montserrat;sans-serif"/>
          <w:b/>
          <w:color w:val="000000"/>
          <w:sz w:val="18"/>
        </w:rPr>
        <w:t>AS ADOPTED PURSUANT TO SECTION 302 OF THE SARBANES-OXLEY ACT OF 2002</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I, John Borgeson, certify that:</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1.</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I have reviewed this Quarterly Report on Form 10-Q of Kodiak Sciences Inc.;</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2.</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3.</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4.</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(a)</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(b)</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(c)</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(d)</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5.</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(a)</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(b)</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787" w:type="dxa"/>
        <w:jc w:val="left"/>
        <w:tblInd w:w="0" w:type="dxa"/>
        <w:tblLayout w:type="fixed"/>
        <w:tblCellMar>
          <w:top w:w="28" w:type="dxa"/>
          <w:left w:w="28" w:type="dxa"/>
          <w:bottom w:w="28" w:type="dxa"/>
          <w:right w:w="28" w:type="dxa"/>
        </w:tblCellMar>
      </w:tblPr>
      <w:tblGrid>
        <w:gridCol w:w="2206"/>
        <w:gridCol w:w="109"/>
        <w:gridCol w:w="391"/>
        <w:gridCol w:w="408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By:</w:t>
            </w:r>
          </w:p>
        </w:tc>
        <w:tc>
          <w:tcPr>
            <w:tcW w:w="40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/s/ 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jc w:val="center"/>
              <w:rPr>
                <w:rFonts w:ascii="Montserrat;sans-serif" w:hAnsi="Montserrat;sans-serif"/>
                <w:color w:val="000000"/>
                <w:sz w:val="18"/>
              </w:rPr>
            </w:pPr>
            <w:r>
              <w:rPr>
                <w:rFonts w:ascii="Montserrat;sans-serif" w:hAnsi="Montserrat;sans-serif"/>
                <w:color w:val="000000"/>
                <w:sz w:val="18"/>
              </w:rPr>
              <w:t>Chief Financial Officer</w:t>
            </w:r>
          </w:p>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(Principal Accounting and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kod-ex32_1.htm"/>
      <w:bookmarkStart w:id="41" w:name="kskodex32_1"/>
      <w:bookmarkEnd w:id="40"/>
      <w:bookmarkEnd w:id="41"/>
      <w:r>
        <w:rPr/>
        <w:t> </w:t>
      </w:r>
      <w:r>
        <w:br w:type="page"/>
      </w:r>
    </w:p>
    <w:p>
      <w:pPr>
        <w:pStyle w:val="TextBody"/>
        <w:bidi w:val="0"/>
        <w:jc w:val="right"/>
        <w:rPr>
          <w:rFonts w:ascii="Montserrat;sans-serif" w:hAnsi="Montserrat;sans-serif"/>
          <w:b/>
          <w:color w:val="000000"/>
          <w:sz w:val="18"/>
        </w:rPr>
      </w:pPr>
      <w:r>
        <w:rPr>
          <w:rFonts w:ascii="Montserrat;sans-serif" w:hAnsi="Montserrat;sans-serif"/>
          <w:b/>
          <w:color w:val="000000"/>
          <w:sz w:val="18"/>
        </w:rPr>
        <w:t>Exhibit 32.1</w:t>
      </w:r>
    </w:p>
    <w:p>
      <w:pPr>
        <w:pStyle w:val="TextBody"/>
        <w:bidi w:val="0"/>
        <w:spacing w:before="240" w:after="283"/>
        <w:jc w:val="center"/>
        <w:rPr>
          <w:rFonts w:ascii="Montserrat;sans-serif" w:hAnsi="Montserrat;sans-serif"/>
          <w:b/>
          <w:color w:val="000000"/>
          <w:sz w:val="18"/>
        </w:rPr>
      </w:pPr>
      <w:r>
        <w:rPr>
          <w:rFonts w:ascii="Montserrat;sans-serif" w:hAnsi="Montserrat;sans-serif"/>
          <w:b/>
          <w:color w:val="000000"/>
          <w:sz w:val="18"/>
        </w:rPr>
        <w:t>CERTIFICATION PURSUANT TO</w:t>
      </w:r>
    </w:p>
    <w:p>
      <w:pPr>
        <w:pStyle w:val="TextBody"/>
        <w:bidi w:val="0"/>
        <w:jc w:val="center"/>
        <w:rPr>
          <w:rFonts w:ascii="Montserrat;sans-serif" w:hAnsi="Montserrat;sans-serif"/>
          <w:b/>
          <w:color w:val="000000"/>
          <w:sz w:val="18"/>
        </w:rPr>
      </w:pPr>
      <w:r>
        <w:rPr>
          <w:rFonts w:ascii="Montserrat;sans-serif" w:hAnsi="Montserrat;sans-serif"/>
          <w:b/>
          <w:color w:val="000000"/>
          <w:sz w:val="18"/>
        </w:rPr>
        <w:t>18 U.S.C. SECTION 1350, AS ADOPTED PURSUANT TO</w:t>
      </w:r>
    </w:p>
    <w:p>
      <w:pPr>
        <w:pStyle w:val="TextBody"/>
        <w:bidi w:val="0"/>
        <w:jc w:val="center"/>
        <w:rPr>
          <w:rFonts w:ascii="Montserrat;sans-serif" w:hAnsi="Montserrat;sans-serif"/>
          <w:b/>
          <w:color w:val="000000"/>
          <w:sz w:val="18"/>
        </w:rPr>
      </w:pPr>
      <w:r>
        <w:rPr>
          <w:rFonts w:ascii="Montserrat;sans-serif" w:hAnsi="Montserrat;sans-serif"/>
          <w:b/>
          <w:color w:val="000000"/>
          <w:sz w:val="18"/>
        </w:rPr>
        <w:t>SECTION 906 OF THE SARBANES-OXLEY ACT OF 2002</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In connection with the Quarterly Report of Kodiak Sciences Inc. (the “Company”) on Form 10-Q for the period ended June 30, 2026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(1)</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The Report fully complies with the requirements of section 13(a) or 15(d) of the Securities Exchange Act of 1934; and</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(2)</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6247" w:type="dxa"/>
        <w:jc w:val="left"/>
        <w:tblInd w:w="0" w:type="dxa"/>
        <w:tblLayout w:type="fixed"/>
        <w:tblCellMar>
          <w:top w:w="28" w:type="dxa"/>
          <w:left w:w="28" w:type="dxa"/>
          <w:bottom w:w="28" w:type="dxa"/>
          <w:right w:w="28" w:type="dxa"/>
        </w:tblCellMar>
      </w:tblPr>
      <w:tblGrid>
        <w:gridCol w:w="2206"/>
        <w:gridCol w:w="109"/>
        <w:gridCol w:w="391"/>
        <w:gridCol w:w="354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By:</w:t>
            </w:r>
          </w:p>
        </w:tc>
        <w:tc>
          <w:tcPr>
            <w:tcW w:w="35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/s/ Victor Perlroth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Victor Perlroth, M.D.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tcBorders/>
            <w:shd w:fill="FFFFFF" w:val="clear"/>
            <w:tcMar>
              <w:top w:w="0" w:type="dxa"/>
              <w:left w:w="0" w:type="dxa"/>
              <w:bottom w:w="0" w:type="dxa"/>
              <w:right w:w="0" w:type="dxa"/>
            </w:tcMar>
            <w:vAlign w:val="center"/>
          </w:tcPr>
          <w:p>
            <w:pPr>
              <w:pStyle w:val="TableContents"/>
              <w:bidi w:val="0"/>
              <w:jc w:val="center"/>
              <w:rPr>
                <w:rFonts w:ascii="Montserrat;sans-serif" w:hAnsi="Montserrat;sans-serif"/>
                <w:color w:val="000000"/>
                <w:sz w:val="18"/>
              </w:rPr>
            </w:pPr>
            <w:r>
              <w:rPr>
                <w:rFonts w:ascii="Montserrat;sans-serif" w:hAnsi="Montserrat;sans-serif"/>
                <w:color w:val="000000"/>
                <w:sz w:val="18"/>
              </w:rPr>
              <w:t>Chairman and Chief Executive Officer</w:t>
            </w:r>
          </w:p>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(Principal Executive Officer)</w:t>
            </w:r>
          </w:p>
        </w:tc>
      </w:tr>
    </w:tbl>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kod-ex32_2.htm"/>
      <w:bookmarkStart w:id="43" w:name="kskodex32_2"/>
      <w:bookmarkEnd w:id="42"/>
      <w:bookmarkEnd w:id="43"/>
      <w:r>
        <w:rPr/>
        <w:t> </w:t>
      </w:r>
      <w:r>
        <w:br w:type="page"/>
      </w:r>
    </w:p>
    <w:p>
      <w:pPr>
        <w:pStyle w:val="TextBody"/>
        <w:bidi w:val="0"/>
        <w:jc w:val="right"/>
        <w:rPr>
          <w:rFonts w:ascii="Montserrat;sans-serif" w:hAnsi="Montserrat;sans-serif"/>
          <w:b/>
          <w:color w:val="000000"/>
          <w:sz w:val="18"/>
        </w:rPr>
      </w:pPr>
      <w:r>
        <w:rPr>
          <w:rFonts w:ascii="Montserrat;sans-serif" w:hAnsi="Montserrat;sans-serif"/>
          <w:b/>
          <w:color w:val="000000"/>
          <w:sz w:val="18"/>
        </w:rPr>
        <w:t>Exhibit 32.2</w:t>
      </w:r>
    </w:p>
    <w:p>
      <w:pPr>
        <w:pStyle w:val="TextBody"/>
        <w:bidi w:val="0"/>
        <w:spacing w:before="240" w:after="283"/>
        <w:jc w:val="center"/>
        <w:rPr>
          <w:rFonts w:ascii="Montserrat;sans-serif" w:hAnsi="Montserrat;sans-serif"/>
          <w:b/>
          <w:color w:val="000000"/>
          <w:sz w:val="18"/>
        </w:rPr>
      </w:pPr>
      <w:r>
        <w:rPr>
          <w:rFonts w:ascii="Montserrat;sans-serif" w:hAnsi="Montserrat;sans-serif"/>
          <w:b/>
          <w:color w:val="000000"/>
          <w:sz w:val="18"/>
        </w:rPr>
        <w:t>CERTIFICATION PURSUANT TO</w:t>
      </w:r>
    </w:p>
    <w:p>
      <w:pPr>
        <w:pStyle w:val="TextBody"/>
        <w:bidi w:val="0"/>
        <w:jc w:val="center"/>
        <w:rPr>
          <w:rFonts w:ascii="Montserrat;sans-serif" w:hAnsi="Montserrat;sans-serif"/>
          <w:b/>
          <w:color w:val="000000"/>
          <w:sz w:val="18"/>
        </w:rPr>
      </w:pPr>
      <w:r>
        <w:rPr>
          <w:rFonts w:ascii="Montserrat;sans-serif" w:hAnsi="Montserrat;sans-serif"/>
          <w:b/>
          <w:color w:val="000000"/>
          <w:sz w:val="18"/>
        </w:rPr>
        <w:t>18 U.S.C. SECTION 1350, AS ADOPTED PURSUANT TO</w:t>
      </w:r>
    </w:p>
    <w:p>
      <w:pPr>
        <w:pStyle w:val="TextBody"/>
        <w:bidi w:val="0"/>
        <w:jc w:val="center"/>
        <w:rPr>
          <w:rFonts w:ascii="Montserrat;sans-serif" w:hAnsi="Montserrat;sans-serif"/>
          <w:b/>
          <w:color w:val="000000"/>
          <w:sz w:val="18"/>
        </w:rPr>
      </w:pPr>
      <w:r>
        <w:rPr>
          <w:rFonts w:ascii="Montserrat;sans-serif" w:hAnsi="Montserrat;sans-serif"/>
          <w:b/>
          <w:color w:val="000000"/>
          <w:sz w:val="18"/>
        </w:rPr>
        <w:t>SECTION 906 OF THE SARBANES-OXLEY ACT OF 2002</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In connection with the Quarterly Report of Kodiak Sciences Inc. (the “Company”) on Form 10-Q for the period ended June 30, 2026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(1)</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The Report fully complies with the requirements of section 13(a) or 15(d) of the Securities Exchange Act of 1934; and</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(2)</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6787" w:type="dxa"/>
        <w:jc w:val="left"/>
        <w:tblInd w:w="0" w:type="dxa"/>
        <w:tblLayout w:type="fixed"/>
        <w:tblCellMar>
          <w:top w:w="28" w:type="dxa"/>
          <w:left w:w="28" w:type="dxa"/>
          <w:bottom w:w="28" w:type="dxa"/>
          <w:right w:w="28" w:type="dxa"/>
        </w:tblCellMar>
      </w:tblPr>
      <w:tblGrid>
        <w:gridCol w:w="2206"/>
        <w:gridCol w:w="109"/>
        <w:gridCol w:w="391"/>
        <w:gridCol w:w="408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By:</w:t>
            </w:r>
          </w:p>
        </w:tc>
        <w:tc>
          <w:tcPr>
            <w:tcW w:w="40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/s/ 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jc w:val="center"/>
              <w:rPr>
                <w:rFonts w:ascii="Montserrat;sans-serif" w:hAnsi="Montserrat;sans-serif"/>
                <w:color w:val="000000"/>
                <w:sz w:val="18"/>
              </w:rPr>
            </w:pPr>
            <w:r>
              <w:rPr>
                <w:rFonts w:ascii="Montserrat;sans-serif" w:hAnsi="Montserrat;sans-serif"/>
                <w:color w:val="000000"/>
                <w:sz w:val="18"/>
              </w:rPr>
              <w:t>Chief Financial Officer</w:t>
            </w:r>
          </w:p>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(Principal Accounting and Financial Officer)</w:t>
            </w:r>
          </w:p>
        </w:tc>
      </w:tr>
    </w:tbl>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ontserrat">
    <w:altName w:val="sans-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68748/000156459018029743/kod-ex31_303.htm" TargetMode="External"/><Relationship Id="rId4" Type="http://schemas.openxmlformats.org/officeDocument/2006/relationships/hyperlink" Target="https://www.sec.gov/Archives/edgar/data/1468748/000156459018029743/kod-ex32_30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52337</Words>
  <Characters>296531</Characters>
  <CharactersWithSpaces>349025</CharactersWithSpaces>
  <Paragraphs>4364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